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D" w:rsidRDefault="00D178CD">
      <w:pPr>
        <w:spacing w:after="49" w:line="240" w:lineRule="auto"/>
        <w:jc w:val="center"/>
        <w:rPr>
          <w:rFonts w:asciiTheme="majorHAnsi" w:hAnsiTheme="majorHAnsi"/>
          <w:b/>
          <w:color w:val="auto"/>
          <w:sz w:val="24"/>
        </w:rPr>
      </w:pPr>
    </w:p>
    <w:p w:rsidR="00D178CD" w:rsidRDefault="00D178CD">
      <w:pPr>
        <w:spacing w:after="49" w:line="240" w:lineRule="auto"/>
        <w:jc w:val="center"/>
        <w:rPr>
          <w:rFonts w:asciiTheme="majorHAnsi" w:hAnsiTheme="majorHAnsi"/>
          <w:b/>
          <w:color w:val="auto"/>
          <w:sz w:val="24"/>
        </w:rPr>
      </w:pPr>
    </w:p>
    <w:p w:rsidR="00CE6A47" w:rsidRDefault="0035154F" w:rsidP="00D178CD">
      <w:pPr>
        <w:spacing w:after="49" w:line="240" w:lineRule="auto"/>
        <w:jc w:val="center"/>
        <w:rPr>
          <w:rFonts w:asciiTheme="majorHAnsi" w:hAnsiTheme="majorHAnsi"/>
          <w:b/>
          <w:color w:val="auto"/>
          <w:sz w:val="24"/>
        </w:rPr>
      </w:pPr>
      <w:r w:rsidRPr="00F14553">
        <w:rPr>
          <w:rFonts w:asciiTheme="majorHAnsi" w:hAnsiTheme="majorHAnsi"/>
          <w:b/>
          <w:color w:val="auto"/>
          <w:sz w:val="24"/>
        </w:rPr>
        <w:t xml:space="preserve">KONTROL FAALİYETLERİ STANDARTLARI </w:t>
      </w:r>
    </w:p>
    <w:p w:rsidR="00D178CD" w:rsidRPr="00D178CD" w:rsidRDefault="00D178CD" w:rsidP="00D178CD">
      <w:pPr>
        <w:spacing w:after="49" w:line="240" w:lineRule="auto"/>
        <w:jc w:val="center"/>
        <w:rPr>
          <w:rFonts w:asciiTheme="majorHAnsi" w:hAnsiTheme="majorHAnsi"/>
          <w:color w:val="auto"/>
        </w:rPr>
      </w:pPr>
    </w:p>
    <w:p w:rsidR="00CE6A47" w:rsidRDefault="0035154F" w:rsidP="00F14553">
      <w:pPr>
        <w:widowControl w:val="0"/>
        <w:autoSpaceDE w:val="0"/>
        <w:autoSpaceDN w:val="0"/>
        <w:adjustRightInd w:val="0"/>
        <w:spacing w:line="240" w:lineRule="auto"/>
        <w:ind w:left="119" w:right="-20"/>
        <w:rPr>
          <w:rFonts w:asciiTheme="majorHAnsi" w:eastAsia="Segoe Print" w:hAnsiTheme="majorHAnsi" w:cs="Segoe Print"/>
          <w:b/>
          <w:color w:val="FF0000"/>
          <w:sz w:val="24"/>
        </w:rPr>
      </w:pPr>
      <w:r w:rsidRPr="00F14553">
        <w:rPr>
          <w:rFonts w:asciiTheme="majorHAnsi" w:eastAsia="Segoe Print" w:hAnsiTheme="majorHAnsi" w:cs="Segoe Print"/>
          <w:b/>
          <w:color w:val="0070C0"/>
          <w:sz w:val="24"/>
        </w:rPr>
        <w:tab/>
      </w:r>
      <w:r w:rsidRPr="00F14553">
        <w:rPr>
          <w:rFonts w:asciiTheme="majorHAnsi" w:eastAsiaTheme="minorEastAsia" w:hAnsiTheme="majorHAnsi"/>
          <w:b/>
          <w:bCs/>
          <w:color w:val="0070C0"/>
          <w:sz w:val="24"/>
          <w:szCs w:val="24"/>
        </w:rPr>
        <w:t>Standart 11: Faaliyetlerin Sürekliliği</w:t>
      </w:r>
    </w:p>
    <w:p w:rsidR="00F14553" w:rsidRPr="00F14553" w:rsidRDefault="00F14553" w:rsidP="00F14553">
      <w:pPr>
        <w:widowControl w:val="0"/>
        <w:autoSpaceDE w:val="0"/>
        <w:autoSpaceDN w:val="0"/>
        <w:adjustRightInd w:val="0"/>
        <w:spacing w:line="240" w:lineRule="auto"/>
        <w:ind w:left="119" w:right="-20"/>
        <w:rPr>
          <w:rFonts w:asciiTheme="majorHAnsi" w:hAnsiTheme="majorHAnsi"/>
        </w:rPr>
      </w:pPr>
    </w:p>
    <w:p w:rsidR="00CE6A47" w:rsidRPr="00F14553" w:rsidRDefault="0035154F">
      <w:pPr>
        <w:spacing w:after="29" w:line="240" w:lineRule="auto"/>
        <w:ind w:left="566"/>
        <w:rPr>
          <w:rFonts w:asciiTheme="majorHAnsi" w:hAnsiTheme="majorHAnsi"/>
        </w:rPr>
      </w:pPr>
      <w:r w:rsidRPr="00F14553">
        <w:rPr>
          <w:rFonts w:asciiTheme="majorHAnsi" w:hAnsiTheme="majorHAnsi"/>
          <w:b/>
          <w:sz w:val="24"/>
        </w:rPr>
        <w:t xml:space="preserve">İdareler faaliyetlerin sürekliliğini sağlamaya yönelik gerekli önlemleri almalıdır. </w:t>
      </w:r>
    </w:p>
    <w:p w:rsidR="00CE6A47" w:rsidRPr="00F14553" w:rsidRDefault="00CE6A47">
      <w:pPr>
        <w:spacing w:after="39" w:line="240" w:lineRule="auto"/>
        <w:rPr>
          <w:rFonts w:asciiTheme="majorHAnsi" w:hAnsiTheme="majorHAnsi"/>
        </w:rPr>
      </w:pPr>
    </w:p>
    <w:p w:rsidR="00CE6A47" w:rsidRPr="00F14553" w:rsidRDefault="0035154F">
      <w:pPr>
        <w:spacing w:after="78" w:line="286" w:lineRule="auto"/>
        <w:ind w:left="1127" w:hanging="576"/>
        <w:jc w:val="both"/>
        <w:rPr>
          <w:rFonts w:asciiTheme="majorHAnsi" w:hAnsiTheme="majorHAnsi"/>
        </w:rPr>
      </w:pPr>
      <w:r w:rsidRPr="00F14553">
        <w:rPr>
          <w:rFonts w:asciiTheme="majorHAnsi" w:hAnsiTheme="majorHAnsi"/>
          <w:b/>
          <w:sz w:val="24"/>
        </w:rPr>
        <w:t>11.1.</w:t>
      </w:r>
      <w:r w:rsidRPr="00F14553">
        <w:rPr>
          <w:rFonts w:asciiTheme="majorHAnsi" w:hAnsiTheme="majorHAnsi"/>
          <w:sz w:val="24"/>
        </w:rPr>
        <w:t xml:space="preserve">Personel yetersizliği, geçici veya sürekli olarak görevden ayrılma, yeni bilgi sistemlerine geçiş, yöntem veya mevzuat değişiklikleri ile olağanüstü durumlar gibi faaliyetlerin sürekliliğini etkileyen nedenlere karşı gerekli önlemler alınmalıdır. </w:t>
      </w:r>
    </w:p>
    <w:p w:rsidR="00CE6A47" w:rsidRPr="00F14553" w:rsidRDefault="0035154F">
      <w:pPr>
        <w:spacing w:after="78" w:line="286" w:lineRule="auto"/>
        <w:ind w:left="551"/>
        <w:jc w:val="both"/>
        <w:rPr>
          <w:rFonts w:asciiTheme="majorHAnsi" w:hAnsiTheme="majorHAnsi"/>
        </w:rPr>
      </w:pPr>
      <w:r w:rsidRPr="00F14553">
        <w:rPr>
          <w:rFonts w:asciiTheme="majorHAnsi" w:hAnsiTheme="majorHAnsi"/>
          <w:b/>
          <w:sz w:val="24"/>
        </w:rPr>
        <w:t>11.2.</w:t>
      </w:r>
      <w:r w:rsidRPr="00F14553">
        <w:rPr>
          <w:rFonts w:asciiTheme="majorHAnsi" w:hAnsiTheme="majorHAnsi"/>
          <w:sz w:val="24"/>
        </w:rPr>
        <w:t xml:space="preserve">Gerekli hallerde usulüne uygun olarak vekil personel görevlendirilmelidir. </w:t>
      </w:r>
    </w:p>
    <w:p w:rsidR="00CE6A47" w:rsidRPr="00F14553" w:rsidRDefault="0035154F">
      <w:pPr>
        <w:spacing w:after="78" w:line="286" w:lineRule="auto"/>
        <w:ind w:left="1127" w:hanging="576"/>
        <w:jc w:val="both"/>
        <w:rPr>
          <w:rFonts w:asciiTheme="majorHAnsi" w:hAnsiTheme="majorHAnsi"/>
        </w:rPr>
      </w:pPr>
      <w:r w:rsidRPr="00F14553">
        <w:rPr>
          <w:rFonts w:asciiTheme="majorHAnsi" w:hAnsiTheme="majorHAnsi"/>
          <w:b/>
          <w:sz w:val="24"/>
        </w:rPr>
        <w:t>11.3.</w:t>
      </w:r>
      <w:r w:rsidRPr="00F14553">
        <w:rPr>
          <w:rFonts w:asciiTheme="majorHAnsi" w:hAnsiTheme="majorHAnsi"/>
          <w:sz w:val="24"/>
        </w:rPr>
        <w:t xml:space="preserve">Görevinden ayrılan personelin, iş veya işlemlerinin durumunu ve gerekli belgeleri de içeren bir rapor hazırlaması ve bu raporu görevlendirilen personele vermesi yönetici tarafından sağlanmalıdır. </w:t>
      </w:r>
    </w:p>
    <w:p w:rsidR="00CE6A47" w:rsidRPr="00F14553" w:rsidRDefault="00CE6A47">
      <w:pPr>
        <w:spacing w:after="39" w:line="240" w:lineRule="auto"/>
        <w:rPr>
          <w:rFonts w:asciiTheme="majorHAnsi" w:hAnsiTheme="majorHAnsi"/>
        </w:rPr>
      </w:pPr>
    </w:p>
    <w:p w:rsidR="00CE6A47" w:rsidRPr="00F14553" w:rsidRDefault="00CE6A47">
      <w:pPr>
        <w:spacing w:after="50"/>
        <w:rPr>
          <w:rFonts w:asciiTheme="majorHAnsi" w:hAnsiTheme="majorHAnsi"/>
        </w:rPr>
      </w:pPr>
    </w:p>
    <w:p w:rsidR="00CE6A47" w:rsidRPr="00F14553" w:rsidRDefault="00CE6A47">
      <w:pPr>
        <w:spacing w:after="82" w:line="240" w:lineRule="auto"/>
        <w:rPr>
          <w:rFonts w:asciiTheme="majorHAnsi" w:hAnsiTheme="majorHAnsi"/>
        </w:rPr>
      </w:pPr>
    </w:p>
    <w:p w:rsidR="00CE6A47" w:rsidRPr="00F14553" w:rsidRDefault="00CE6A47">
      <w:pPr>
        <w:spacing w:after="106" w:line="240" w:lineRule="auto"/>
        <w:rPr>
          <w:rFonts w:asciiTheme="majorHAnsi" w:hAnsiTheme="majorHAnsi"/>
        </w:rPr>
      </w:pPr>
    </w:p>
    <w:sectPr w:rsidR="00CE6A47" w:rsidRPr="00F14553" w:rsidSect="00F14553">
      <w:headerReference w:type="even" r:id="rId7"/>
      <w:headerReference w:type="default" r:id="rId8"/>
      <w:pgSz w:w="11906" w:h="16838"/>
      <w:pgMar w:top="1560" w:right="1413" w:bottom="1100" w:left="14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3D" w:rsidRDefault="00FC0B3D" w:rsidP="00F14553">
      <w:pPr>
        <w:spacing w:line="240" w:lineRule="auto"/>
      </w:pPr>
      <w:r>
        <w:separator/>
      </w:r>
    </w:p>
  </w:endnote>
  <w:endnote w:type="continuationSeparator" w:id="1">
    <w:p w:rsidR="00FC0B3D" w:rsidRDefault="00FC0B3D" w:rsidP="00F14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3D" w:rsidRDefault="00FC0B3D" w:rsidP="00F14553">
      <w:pPr>
        <w:spacing w:line="240" w:lineRule="auto"/>
      </w:pPr>
      <w:r>
        <w:separator/>
      </w:r>
    </w:p>
  </w:footnote>
  <w:footnote w:type="continuationSeparator" w:id="1">
    <w:p w:rsidR="00FC0B3D" w:rsidRDefault="00FC0B3D" w:rsidP="00F145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53" w:rsidRDefault="00D178CD" w:rsidP="00D178CD">
    <w:pPr>
      <w:pStyle w:val="stbilgi"/>
      <w:tabs>
        <w:tab w:val="clear" w:pos="4536"/>
        <w:tab w:val="clear" w:pos="9072"/>
        <w:tab w:val="left" w:pos="5940"/>
      </w:tabs>
    </w:pPr>
    <w:r w:rsidRPr="00D178CD">
      <w:drawing>
        <wp:inline distT="0" distB="0" distL="0" distR="0">
          <wp:extent cx="5761990" cy="732832"/>
          <wp:effectExtent l="19050" t="0" r="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32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BD1"/>
    <w:multiLevelType w:val="hybridMultilevel"/>
    <w:tmpl w:val="524EF48C"/>
    <w:lvl w:ilvl="0" w:tplc="B8308540">
      <w:numFmt w:val="bullet"/>
      <w:lvlText w:val=""/>
      <w:lvlJc w:val="left"/>
      <w:pPr>
        <w:ind w:left="926" w:hanging="360"/>
      </w:pPr>
      <w:rPr>
        <w:rFonts w:ascii="Calibri Light" w:eastAsia="Segoe UI Symbol" w:hAnsi="Calibri Light" w:cs="Segoe UI Symbol" w:hint="default"/>
        <w:color w:val="C00000"/>
        <w:sz w:val="24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61596073"/>
    <w:multiLevelType w:val="hybridMultilevel"/>
    <w:tmpl w:val="EDEC04B6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6BDD3EC3"/>
    <w:multiLevelType w:val="hybridMultilevel"/>
    <w:tmpl w:val="F6165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C7BA6"/>
    <w:multiLevelType w:val="hybridMultilevel"/>
    <w:tmpl w:val="A2BA28B2"/>
    <w:lvl w:ilvl="0" w:tplc="B8308540">
      <w:numFmt w:val="bullet"/>
      <w:lvlText w:val=""/>
      <w:lvlJc w:val="left"/>
      <w:pPr>
        <w:ind w:left="926" w:hanging="360"/>
      </w:pPr>
      <w:rPr>
        <w:rFonts w:ascii="Calibri Light" w:eastAsia="Segoe UI Symbol" w:hAnsi="Calibri Light" w:cs="Segoe UI Symbol" w:hint="default"/>
        <w:color w:val="C0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6A47"/>
    <w:rsid w:val="0035154F"/>
    <w:rsid w:val="00AC2385"/>
    <w:rsid w:val="00CE6A47"/>
    <w:rsid w:val="00D178CD"/>
    <w:rsid w:val="00F14553"/>
    <w:rsid w:val="00FC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5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C23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455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455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455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4553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F145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7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8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fazlı öztel</dc:creator>
  <cp:lastModifiedBy>MYO sekreterlik</cp:lastModifiedBy>
  <cp:revision>2</cp:revision>
  <dcterms:created xsi:type="dcterms:W3CDTF">2015-07-07T13:25:00Z</dcterms:created>
  <dcterms:modified xsi:type="dcterms:W3CDTF">2015-07-07T13:25:00Z</dcterms:modified>
</cp:coreProperties>
</file>