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F2DF"/>
        <w:tblLook w:val="04A0"/>
      </w:tblPr>
      <w:tblGrid>
        <w:gridCol w:w="2518"/>
        <w:gridCol w:w="4820"/>
        <w:gridCol w:w="2443"/>
      </w:tblGrid>
      <w:tr w:rsidR="00610488" w:rsidTr="00A03112">
        <w:tc>
          <w:tcPr>
            <w:tcW w:w="2518" w:type="dxa"/>
            <w:shd w:val="clear" w:color="auto" w:fill="F1F2DF"/>
          </w:tcPr>
          <w:p w:rsidR="00610488" w:rsidRDefault="00610488">
            <w:bookmarkStart w:id="0" w:name="_GoBack"/>
            <w:bookmarkEnd w:id="0"/>
            <w:r>
              <w:rPr>
                <w:noProof/>
              </w:rPr>
              <w:drawing>
                <wp:inline distT="0" distB="0" distL="0" distR="0">
                  <wp:extent cx="996631" cy="1243584"/>
                  <wp:effectExtent l="19050" t="0" r="0" b="0"/>
                  <wp:docPr id="3" name="Picture 0" descr="i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jpg"/>
                          <pic:cNvPicPr/>
                        </pic:nvPicPr>
                        <pic:blipFill>
                          <a:blip r:embed="rId5" cstate="print"/>
                          <a:stretch>
                            <a:fillRect/>
                          </a:stretch>
                        </pic:blipFill>
                        <pic:spPr>
                          <a:xfrm>
                            <a:off x="0" y="0"/>
                            <a:ext cx="995275" cy="1241892"/>
                          </a:xfrm>
                          <a:prstGeom prst="rect">
                            <a:avLst/>
                          </a:prstGeom>
                        </pic:spPr>
                      </pic:pic>
                    </a:graphicData>
                  </a:graphic>
                </wp:inline>
              </w:drawing>
            </w:r>
          </w:p>
        </w:tc>
        <w:tc>
          <w:tcPr>
            <w:tcW w:w="4820" w:type="dxa"/>
            <w:shd w:val="clear" w:color="auto" w:fill="F1F2DF"/>
          </w:tcPr>
          <w:p w:rsidR="00610488" w:rsidRPr="00610488" w:rsidRDefault="00610488" w:rsidP="00453F95">
            <w:pPr>
              <w:rPr>
                <w:b/>
                <w:sz w:val="40"/>
              </w:rPr>
            </w:pPr>
          </w:p>
          <w:p w:rsidR="00610488" w:rsidRDefault="00610488" w:rsidP="00453F95">
            <w:pPr>
              <w:rPr>
                <w:b/>
                <w:sz w:val="52"/>
              </w:rPr>
            </w:pPr>
            <w:r w:rsidRPr="00610488">
              <w:rPr>
                <w:b/>
                <w:sz w:val="52"/>
              </w:rPr>
              <w:t>IEEE Et</w:t>
            </w:r>
            <w:r>
              <w:rPr>
                <w:b/>
                <w:sz w:val="52"/>
              </w:rPr>
              <w:t>ik Kuralları</w:t>
            </w:r>
          </w:p>
          <w:p w:rsidR="00610488" w:rsidRPr="00610488" w:rsidRDefault="00610488" w:rsidP="00453F95">
            <w:pPr>
              <w:rPr>
                <w:b/>
              </w:rPr>
            </w:pPr>
            <w:r w:rsidRPr="00610488">
              <w:rPr>
                <w:b/>
                <w:sz w:val="52"/>
              </w:rPr>
              <w:t>IEEE Code of Ethics</w:t>
            </w:r>
          </w:p>
        </w:tc>
        <w:tc>
          <w:tcPr>
            <w:tcW w:w="2443" w:type="dxa"/>
            <w:shd w:val="clear" w:color="auto" w:fill="F1F2DF"/>
          </w:tcPr>
          <w:p w:rsidR="00610488" w:rsidRPr="00610488" w:rsidRDefault="00610488">
            <w:pPr>
              <w:rPr>
                <w:b/>
              </w:rPr>
            </w:pPr>
            <w:r w:rsidRPr="00610488">
              <w:rPr>
                <w:b/>
                <w:noProof/>
              </w:rPr>
              <w:drawing>
                <wp:inline distT="0" distB="0" distL="0" distR="0">
                  <wp:extent cx="996631" cy="1243584"/>
                  <wp:effectExtent l="19050" t="0" r="0" b="0"/>
                  <wp:docPr id="4" name="Picture 0" descr="i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ee.jpg"/>
                          <pic:cNvPicPr/>
                        </pic:nvPicPr>
                        <pic:blipFill>
                          <a:blip r:embed="rId5" cstate="print"/>
                          <a:stretch>
                            <a:fillRect/>
                          </a:stretch>
                        </pic:blipFill>
                        <pic:spPr>
                          <a:xfrm>
                            <a:off x="0" y="0"/>
                            <a:ext cx="995275" cy="1241892"/>
                          </a:xfrm>
                          <a:prstGeom prst="rect">
                            <a:avLst/>
                          </a:prstGeom>
                        </pic:spPr>
                      </pic:pic>
                    </a:graphicData>
                  </a:graphic>
                </wp:inline>
              </w:drawing>
            </w:r>
          </w:p>
        </w:tc>
      </w:tr>
    </w:tbl>
    <w:p w:rsidR="00610488" w:rsidRPr="00A8448C" w:rsidRDefault="00610488">
      <w:pPr>
        <w:rPr>
          <w:sz w:val="8"/>
        </w:rPr>
      </w:pPr>
    </w:p>
    <w:p w:rsidR="00BE2663" w:rsidRPr="00610488" w:rsidRDefault="00BE2663" w:rsidP="00610488">
      <w:pPr>
        <w:jc w:val="both"/>
        <w:rPr>
          <w:sz w:val="28"/>
        </w:rPr>
      </w:pPr>
      <w:r w:rsidRPr="00610488">
        <w:rPr>
          <w:sz w:val="28"/>
        </w:rPr>
        <w:t xml:space="preserve">IEEE üyeleri olarak bizler bütün dünya üzerinde teknolojilerimizin hayat standartlarını etkilemesindeki önemin farkındayız. Mesleğimize karşı şahsi sorumluluğumuzu kabul ederek, hizmet ettiğimiz toplumlara ve üyelerine en yüksek etik ve mesleki davranışta bulunmayı söz verdiğimizi ve aşağıdaki </w:t>
      </w:r>
      <w:r w:rsidR="000D7918" w:rsidRPr="00610488">
        <w:rPr>
          <w:sz w:val="28"/>
        </w:rPr>
        <w:t xml:space="preserve">etik </w:t>
      </w:r>
      <w:r w:rsidRPr="00610488">
        <w:rPr>
          <w:sz w:val="28"/>
        </w:rPr>
        <w:t>kuralları kabu</w:t>
      </w:r>
      <w:r w:rsidR="000D7918" w:rsidRPr="00610488">
        <w:rPr>
          <w:sz w:val="28"/>
        </w:rPr>
        <w:t xml:space="preserve">l ettiğimizi </w:t>
      </w:r>
      <w:r w:rsidRPr="00610488">
        <w:rPr>
          <w:sz w:val="28"/>
        </w:rPr>
        <w:t>ifade ed</w:t>
      </w:r>
      <w:r w:rsidR="000D7918" w:rsidRPr="00610488">
        <w:rPr>
          <w:sz w:val="28"/>
        </w:rPr>
        <w:t>eriz.</w:t>
      </w:r>
    </w:p>
    <w:p w:rsidR="000D7918" w:rsidRPr="00A03112" w:rsidRDefault="000D7918" w:rsidP="00A03112">
      <w:pPr>
        <w:pStyle w:val="ListParagraph"/>
        <w:numPr>
          <w:ilvl w:val="0"/>
          <w:numId w:val="1"/>
        </w:numPr>
        <w:spacing w:after="120" w:line="240" w:lineRule="auto"/>
        <w:ind w:left="714" w:hanging="357"/>
        <w:contextualSpacing w:val="0"/>
        <w:jc w:val="both"/>
        <w:rPr>
          <w:sz w:val="28"/>
        </w:rPr>
      </w:pPr>
      <w:r w:rsidRPr="00A03112">
        <w:rPr>
          <w:sz w:val="28"/>
        </w:rPr>
        <w:t>Kamu güvenliği, sağlığı ve refahı ile uyumlu kararlar vermenin sorumluluğunu kabul etmek ve kamu veya çevreyi tehdit edebilecek faktörleri derhal açıklamak;</w:t>
      </w:r>
    </w:p>
    <w:p w:rsidR="000D7918" w:rsidRPr="00A03112" w:rsidRDefault="000D7918" w:rsidP="00A03112">
      <w:pPr>
        <w:pStyle w:val="ListParagraph"/>
        <w:numPr>
          <w:ilvl w:val="0"/>
          <w:numId w:val="1"/>
        </w:numPr>
        <w:spacing w:after="120" w:line="240" w:lineRule="auto"/>
        <w:ind w:left="714" w:hanging="357"/>
        <w:contextualSpacing w:val="0"/>
        <w:jc w:val="both"/>
        <w:rPr>
          <w:sz w:val="28"/>
        </w:rPr>
      </w:pPr>
      <w:r w:rsidRPr="00A03112">
        <w:rPr>
          <w:sz w:val="28"/>
        </w:rPr>
        <w:t xml:space="preserve">Mümkün olabilecek çıkar </w:t>
      </w:r>
      <w:r w:rsidR="008341DF" w:rsidRPr="00A03112">
        <w:rPr>
          <w:sz w:val="28"/>
        </w:rPr>
        <w:t>çatışması</w:t>
      </w:r>
      <w:r w:rsidRPr="00A03112">
        <w:rPr>
          <w:sz w:val="28"/>
        </w:rPr>
        <w:t xml:space="preserve">, ister gerçekten var olması isterse sadece algı olması, durumlarından kaçınmak. Çıkar </w:t>
      </w:r>
      <w:r w:rsidR="008341DF" w:rsidRPr="00A03112">
        <w:rPr>
          <w:sz w:val="28"/>
        </w:rPr>
        <w:t>çatışması</w:t>
      </w:r>
      <w:r w:rsidRPr="00A03112">
        <w:rPr>
          <w:sz w:val="28"/>
        </w:rPr>
        <w:t xml:space="preserve"> olması durumunda, etkilenen taraflara durumu bildirmek</w:t>
      </w:r>
      <w:r w:rsidR="008341DF" w:rsidRPr="00A03112">
        <w:rPr>
          <w:sz w:val="28"/>
        </w:rPr>
        <w:t>;</w:t>
      </w:r>
    </w:p>
    <w:p w:rsidR="000D7918" w:rsidRPr="00A03112" w:rsidRDefault="008341DF" w:rsidP="00A03112">
      <w:pPr>
        <w:pStyle w:val="ListParagraph"/>
        <w:numPr>
          <w:ilvl w:val="0"/>
          <w:numId w:val="1"/>
        </w:numPr>
        <w:spacing w:after="120" w:line="240" w:lineRule="auto"/>
        <w:ind w:left="714" w:hanging="357"/>
        <w:contextualSpacing w:val="0"/>
        <w:jc w:val="both"/>
        <w:rPr>
          <w:sz w:val="28"/>
        </w:rPr>
      </w:pPr>
      <w:r w:rsidRPr="00A03112">
        <w:rPr>
          <w:sz w:val="28"/>
        </w:rPr>
        <w:t>Mevcut verilere dayalı tahminlerde ve fikir beyan etmelerde gerçekçi ve dürüst olmak;</w:t>
      </w:r>
    </w:p>
    <w:p w:rsidR="008341DF" w:rsidRPr="00A03112" w:rsidRDefault="008341DF" w:rsidP="00A03112">
      <w:pPr>
        <w:pStyle w:val="ListParagraph"/>
        <w:numPr>
          <w:ilvl w:val="0"/>
          <w:numId w:val="1"/>
        </w:numPr>
        <w:spacing w:after="120" w:line="240" w:lineRule="auto"/>
        <w:ind w:left="714" w:hanging="357"/>
        <w:contextualSpacing w:val="0"/>
        <w:rPr>
          <w:sz w:val="28"/>
        </w:rPr>
      </w:pPr>
      <w:r w:rsidRPr="00A03112">
        <w:rPr>
          <w:sz w:val="28"/>
        </w:rPr>
        <w:t>Her türlü rüşveti reddetmek;</w:t>
      </w:r>
    </w:p>
    <w:p w:rsidR="008341DF" w:rsidRPr="00A03112" w:rsidRDefault="008341DF" w:rsidP="00A03112">
      <w:pPr>
        <w:pStyle w:val="ListParagraph"/>
        <w:numPr>
          <w:ilvl w:val="0"/>
          <w:numId w:val="1"/>
        </w:numPr>
        <w:spacing w:after="120" w:line="240" w:lineRule="auto"/>
        <w:ind w:left="714" w:hanging="357"/>
        <w:contextualSpacing w:val="0"/>
        <w:jc w:val="both"/>
        <w:rPr>
          <w:sz w:val="28"/>
        </w:rPr>
      </w:pPr>
      <w:r w:rsidRPr="00A03112">
        <w:rPr>
          <w:sz w:val="28"/>
        </w:rPr>
        <w:t>Mütenasip uygulamalarını ve muhtemel sonuçlarını</w:t>
      </w:r>
      <w:r w:rsidR="00B27FCF" w:rsidRPr="00A03112">
        <w:rPr>
          <w:sz w:val="28"/>
        </w:rPr>
        <w:t xml:space="preserve"> gözeterek</w:t>
      </w:r>
      <w:r w:rsidRPr="00A03112">
        <w:rPr>
          <w:sz w:val="28"/>
        </w:rPr>
        <w:t xml:space="preserve"> </w:t>
      </w:r>
      <w:r w:rsidR="00B27FCF" w:rsidRPr="00A03112">
        <w:rPr>
          <w:sz w:val="28"/>
        </w:rPr>
        <w:t>t</w:t>
      </w:r>
      <w:r w:rsidRPr="00A03112">
        <w:rPr>
          <w:sz w:val="28"/>
        </w:rPr>
        <w:t>eknoloji anlayışını</w:t>
      </w:r>
      <w:r w:rsidR="00B27FCF" w:rsidRPr="00A03112">
        <w:rPr>
          <w:sz w:val="28"/>
        </w:rPr>
        <w:t xml:space="preserve"> </w:t>
      </w:r>
      <w:r w:rsidRPr="00A03112">
        <w:rPr>
          <w:sz w:val="28"/>
        </w:rPr>
        <w:t>geliştirmek;</w:t>
      </w:r>
    </w:p>
    <w:p w:rsidR="00B27FCF" w:rsidRPr="00A03112" w:rsidRDefault="00B27FCF" w:rsidP="00A03112">
      <w:pPr>
        <w:pStyle w:val="ListParagraph"/>
        <w:numPr>
          <w:ilvl w:val="0"/>
          <w:numId w:val="1"/>
        </w:numPr>
        <w:spacing w:after="120" w:line="240" w:lineRule="auto"/>
        <w:ind w:left="714" w:hanging="357"/>
        <w:contextualSpacing w:val="0"/>
        <w:rPr>
          <w:sz w:val="28"/>
        </w:rPr>
      </w:pPr>
      <w:r w:rsidRPr="00A03112">
        <w:rPr>
          <w:sz w:val="28"/>
        </w:rPr>
        <w:t>Teknik yeterliliklerimizi sürdürmek ve geliştirmek, yeterli eğitim veya tecrübe olması veya işin zorluk sınırları ifade edilmesi durumunda ancak başkaları için teknolojik sorumlulukları üstlenmek;</w:t>
      </w:r>
    </w:p>
    <w:p w:rsidR="00B27FCF" w:rsidRPr="00A03112" w:rsidRDefault="00B27FCF" w:rsidP="00A03112">
      <w:pPr>
        <w:pStyle w:val="ListParagraph"/>
        <w:numPr>
          <w:ilvl w:val="0"/>
          <w:numId w:val="1"/>
        </w:numPr>
        <w:spacing w:after="120" w:line="240" w:lineRule="auto"/>
        <w:ind w:left="714" w:hanging="357"/>
        <w:contextualSpacing w:val="0"/>
        <w:rPr>
          <w:sz w:val="28"/>
        </w:rPr>
      </w:pPr>
      <w:r w:rsidRPr="00A03112">
        <w:rPr>
          <w:sz w:val="28"/>
        </w:rPr>
        <w:t xml:space="preserve">Teknik bir çalışma hakkında yansız bir eleştiri </w:t>
      </w:r>
      <w:r w:rsidR="00454EB0" w:rsidRPr="00A03112">
        <w:rPr>
          <w:sz w:val="28"/>
        </w:rPr>
        <w:t xml:space="preserve">için uğraşmak, eleştiriyi kabul etmek ve eleştiriyi </w:t>
      </w:r>
      <w:r w:rsidRPr="00A03112">
        <w:rPr>
          <w:sz w:val="28"/>
        </w:rPr>
        <w:t>yapmak</w:t>
      </w:r>
      <w:r w:rsidR="00454EB0" w:rsidRPr="00A03112">
        <w:rPr>
          <w:sz w:val="28"/>
        </w:rPr>
        <w:t>; hatları kabul etmek ve düzeltmek; diğer katkı sunanların emeklerini ifade etmek;</w:t>
      </w:r>
    </w:p>
    <w:p w:rsidR="00454EB0" w:rsidRPr="00A03112" w:rsidRDefault="00454EB0" w:rsidP="00A03112">
      <w:pPr>
        <w:pStyle w:val="ListParagraph"/>
        <w:numPr>
          <w:ilvl w:val="0"/>
          <w:numId w:val="1"/>
        </w:numPr>
        <w:spacing w:after="120" w:line="240" w:lineRule="auto"/>
        <w:ind w:left="714" w:hanging="357"/>
        <w:contextualSpacing w:val="0"/>
        <w:rPr>
          <w:sz w:val="28"/>
        </w:rPr>
      </w:pPr>
      <w:r w:rsidRPr="00A03112">
        <w:rPr>
          <w:sz w:val="28"/>
        </w:rPr>
        <w:t>Bütün kişilere adilane davranmak; ırk, din, cinsiyet, yaş, milliyet, cinsi tercih, cins</w:t>
      </w:r>
      <w:r w:rsidR="00080C43" w:rsidRPr="00A03112">
        <w:rPr>
          <w:sz w:val="28"/>
        </w:rPr>
        <w:t>iyet</w:t>
      </w:r>
      <w:r w:rsidRPr="00A03112">
        <w:rPr>
          <w:sz w:val="28"/>
        </w:rPr>
        <w:t xml:space="preserve"> </w:t>
      </w:r>
      <w:r w:rsidR="00080C43" w:rsidRPr="00A03112">
        <w:rPr>
          <w:sz w:val="28"/>
        </w:rPr>
        <w:t>kimliği</w:t>
      </w:r>
      <w:r w:rsidRPr="00A03112">
        <w:rPr>
          <w:sz w:val="28"/>
        </w:rPr>
        <w:t>, veya cins</w:t>
      </w:r>
      <w:r w:rsidR="00080C43" w:rsidRPr="00A03112">
        <w:rPr>
          <w:sz w:val="28"/>
        </w:rPr>
        <w:t>iyet ifadesi üzerinden ayırımcılık yapma durumuna girişmemek;</w:t>
      </w:r>
    </w:p>
    <w:p w:rsidR="00080C43" w:rsidRPr="00A03112" w:rsidRDefault="00080C43" w:rsidP="00A03112">
      <w:pPr>
        <w:pStyle w:val="ListParagraph"/>
        <w:numPr>
          <w:ilvl w:val="0"/>
          <w:numId w:val="1"/>
        </w:numPr>
        <w:spacing w:after="120" w:line="240" w:lineRule="auto"/>
        <w:ind w:left="714" w:hanging="357"/>
        <w:contextualSpacing w:val="0"/>
        <w:rPr>
          <w:sz w:val="28"/>
        </w:rPr>
      </w:pPr>
      <w:r w:rsidRPr="00A03112">
        <w:rPr>
          <w:sz w:val="28"/>
        </w:rPr>
        <w:t>Yanlış veya kötü amaçlı eylemler sonucu kimsenin yaralanması, mülklerinin zarar görmesi, itibarlarının veya istihdamlarının zedelenmesi durumlarının oluşmasından kaçınmak;</w:t>
      </w:r>
    </w:p>
    <w:p w:rsidR="00080C43" w:rsidRPr="00A03112" w:rsidRDefault="00080C43" w:rsidP="00A03112">
      <w:pPr>
        <w:pStyle w:val="ListParagraph"/>
        <w:numPr>
          <w:ilvl w:val="0"/>
          <w:numId w:val="1"/>
        </w:numPr>
        <w:spacing w:after="120" w:line="240" w:lineRule="auto"/>
        <w:ind w:left="714" w:hanging="357"/>
        <w:contextualSpacing w:val="0"/>
        <w:rPr>
          <w:sz w:val="28"/>
        </w:rPr>
      </w:pPr>
      <w:r w:rsidRPr="00A03112">
        <w:rPr>
          <w:sz w:val="28"/>
        </w:rPr>
        <w:t>Meslektaşlara ve yardımcı personele mesleki gelişimlerinde yardımcı olmak ve onları desteklemek.</w:t>
      </w:r>
    </w:p>
    <w:p w:rsidR="00FC0EA9" w:rsidRDefault="00FC0EA9" w:rsidP="00FC0EA9">
      <w:pPr>
        <w:spacing w:after="0" w:line="240" w:lineRule="auto"/>
        <w:ind w:firstLine="2835"/>
      </w:pPr>
    </w:p>
    <w:p w:rsidR="00FC0EA9" w:rsidRDefault="00FC0EA9" w:rsidP="00FC0EA9">
      <w:pPr>
        <w:spacing w:after="0" w:line="240" w:lineRule="auto"/>
        <w:ind w:firstLine="2835"/>
      </w:pPr>
    </w:p>
    <w:p w:rsidR="00A8448C" w:rsidRDefault="00BF5AAE" w:rsidP="00FC0EA9">
      <w:pPr>
        <w:spacing w:after="0" w:line="240" w:lineRule="auto"/>
        <w:ind w:firstLine="2835"/>
        <w:jc w:val="right"/>
      </w:pPr>
      <w:r>
        <w:t xml:space="preserve">IEEE </w:t>
      </w:r>
      <w:r w:rsidR="00FC0EA9">
        <w:t>Yönetim Kurulu tarafından Ağustos 1990’da onaylanmıştır.</w:t>
      </w:r>
    </w:p>
    <w:sectPr w:rsidR="00A8448C" w:rsidSect="00A03112">
      <w:pgSz w:w="11906" w:h="16838"/>
      <w:pgMar w:top="851" w:right="1133" w:bottom="993" w:left="1134" w:header="708" w:footer="708" w:gutter="0"/>
      <w:pgBorders w:offsetFrom="page">
        <w:top w:val="dashDotStroked" w:sz="24" w:space="24" w:color="C00000"/>
        <w:left w:val="dashDotStroked" w:sz="24" w:space="24" w:color="C00000"/>
        <w:bottom w:val="dashDotStroked" w:sz="24" w:space="24" w:color="C00000"/>
        <w:right w:val="dashDotStroked"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7578D6"/>
    <w:multiLevelType w:val="hybridMultilevel"/>
    <w:tmpl w:val="1BD2C0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9040F2"/>
    <w:rsid w:val="00080C43"/>
    <w:rsid w:val="00086DA9"/>
    <w:rsid w:val="000D7918"/>
    <w:rsid w:val="00454EB0"/>
    <w:rsid w:val="00456A2A"/>
    <w:rsid w:val="004B2E16"/>
    <w:rsid w:val="004C60E2"/>
    <w:rsid w:val="00610488"/>
    <w:rsid w:val="00691944"/>
    <w:rsid w:val="00734331"/>
    <w:rsid w:val="008341DF"/>
    <w:rsid w:val="009040F2"/>
    <w:rsid w:val="00930765"/>
    <w:rsid w:val="00A03112"/>
    <w:rsid w:val="00A8448C"/>
    <w:rsid w:val="00B27FCF"/>
    <w:rsid w:val="00BE2663"/>
    <w:rsid w:val="00BF5AAE"/>
    <w:rsid w:val="00F95444"/>
    <w:rsid w:val="00FC0E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9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18"/>
    <w:pPr>
      <w:ind w:left="720"/>
      <w:contextualSpacing/>
    </w:pPr>
  </w:style>
  <w:style w:type="table" w:styleId="TableGrid">
    <w:name w:val="Table Grid"/>
    <w:basedOn w:val="TableNormal"/>
    <w:uiPriority w:val="59"/>
    <w:rsid w:val="006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918"/>
    <w:pPr>
      <w:ind w:left="720"/>
      <w:contextualSpacing/>
    </w:pPr>
  </w:style>
  <w:style w:type="table" w:styleId="TableGrid">
    <w:name w:val="Table Grid"/>
    <w:basedOn w:val="TableNormal"/>
    <w:uiPriority w:val="59"/>
    <w:rsid w:val="006104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104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04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949353">
      <w:bodyDiv w:val="1"/>
      <w:marLeft w:val="0"/>
      <w:marRight w:val="0"/>
      <w:marTop w:val="0"/>
      <w:marBottom w:val="0"/>
      <w:divBdr>
        <w:top w:val="none" w:sz="0" w:space="0" w:color="auto"/>
        <w:left w:val="none" w:sz="0" w:space="0" w:color="auto"/>
        <w:bottom w:val="none" w:sz="0" w:space="0" w:color="auto"/>
        <w:right w:val="none" w:sz="0" w:space="0" w:color="auto"/>
      </w:divBdr>
    </w:div>
    <w:div w:id="1769425525">
      <w:bodyDiv w:val="1"/>
      <w:marLeft w:val="0"/>
      <w:marRight w:val="0"/>
      <w:marTop w:val="0"/>
      <w:marBottom w:val="0"/>
      <w:divBdr>
        <w:top w:val="none" w:sz="0" w:space="0" w:color="auto"/>
        <w:left w:val="none" w:sz="0" w:space="0" w:color="auto"/>
        <w:bottom w:val="none" w:sz="0" w:space="0" w:color="auto"/>
        <w:right w:val="none" w:sz="0" w:space="0" w:color="auto"/>
      </w:divBdr>
    </w:div>
    <w:div w:id="203870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1557</Characters>
  <Application>Microsoft Office Word</Application>
  <DocSecurity>0</DocSecurity>
  <Lines>12</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PC25</dc:creator>
  <cp:lastModifiedBy>ISMAIL H. ALTAS</cp:lastModifiedBy>
  <cp:revision>4</cp:revision>
  <cp:lastPrinted>2014-04-20T17:36:00Z</cp:lastPrinted>
  <dcterms:created xsi:type="dcterms:W3CDTF">2014-05-20T12:19:00Z</dcterms:created>
  <dcterms:modified xsi:type="dcterms:W3CDTF">2014-09-21T14:57:00Z</dcterms:modified>
</cp:coreProperties>
</file>