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CB" w:rsidRDefault="00F928CB" w:rsidP="00F928CB">
      <w:pPr>
        <w:pStyle w:val="ListeParagraf"/>
        <w:ind w:left="2844" w:right="366" w:firstLine="696"/>
        <w:rPr>
          <w:b/>
        </w:rPr>
      </w:pPr>
      <w:r>
        <w:rPr>
          <w:b/>
        </w:rPr>
        <w:t>KONTROL FORMLARI (</w:t>
      </w:r>
      <w:r>
        <w:rPr>
          <w:b/>
          <w:color w:val="FF0000"/>
        </w:rPr>
        <w:t>CHECK LIST</w:t>
      </w:r>
      <w:r>
        <w:rPr>
          <w:b/>
        </w:rPr>
        <w:t>)</w:t>
      </w:r>
    </w:p>
    <w:p w:rsidR="00F928CB" w:rsidRDefault="00F928CB" w:rsidP="00F928CB">
      <w:pPr>
        <w:pStyle w:val="ListeParagraf"/>
        <w:ind w:left="1440" w:right="366"/>
        <w:jc w:val="both"/>
      </w:pPr>
    </w:p>
    <w:p w:rsidR="00F928CB" w:rsidRDefault="00F928CB" w:rsidP="00F928CB">
      <w:pPr>
        <w:pStyle w:val="ListeParagraf"/>
        <w:numPr>
          <w:ilvl w:val="1"/>
          <w:numId w:val="4"/>
        </w:numPr>
        <w:ind w:right="366"/>
        <w:jc w:val="both"/>
      </w:pPr>
      <w:r>
        <w:t>Tehlikeleri görmenin, riskleri belirlemenin ilk adımıdır.</w:t>
      </w:r>
    </w:p>
    <w:p w:rsidR="00F928CB" w:rsidRDefault="00F928CB" w:rsidP="00F928CB">
      <w:pPr>
        <w:pStyle w:val="ListeParagraf"/>
        <w:numPr>
          <w:ilvl w:val="1"/>
          <w:numId w:val="4"/>
        </w:numPr>
        <w:ind w:right="366"/>
        <w:jc w:val="both"/>
      </w:pPr>
      <w:r>
        <w:t>Kolay uygulanır.</w:t>
      </w:r>
    </w:p>
    <w:p w:rsidR="00F928CB" w:rsidRDefault="00F928CB" w:rsidP="00F928CB">
      <w:pPr>
        <w:pStyle w:val="ListeParagraf"/>
        <w:numPr>
          <w:ilvl w:val="1"/>
          <w:numId w:val="4"/>
        </w:numPr>
        <w:ind w:right="366"/>
        <w:jc w:val="both"/>
      </w:pPr>
      <w:r>
        <w:t>Planlı faaliyetlere zarar verebilecek tehlikelerin önceden görülüp, önlem alınmasını sağlar.</w:t>
      </w:r>
    </w:p>
    <w:p w:rsidR="00F928CB" w:rsidRDefault="00F928CB" w:rsidP="00F928CB">
      <w:pPr>
        <w:pStyle w:val="ListeParagraf"/>
        <w:numPr>
          <w:ilvl w:val="1"/>
          <w:numId w:val="4"/>
        </w:numPr>
        <w:ind w:right="366"/>
        <w:jc w:val="both"/>
      </w:pPr>
      <w:r>
        <w:t>İşin uzmanı olmayan yönetici, idari ve teknik personel tarafından da uygulanabilir.</w:t>
      </w:r>
    </w:p>
    <w:p w:rsidR="00F928CB" w:rsidRDefault="00F928CB" w:rsidP="00F928CB">
      <w:pPr>
        <w:pStyle w:val="ListeParagraf"/>
        <w:numPr>
          <w:ilvl w:val="1"/>
          <w:numId w:val="4"/>
        </w:numPr>
        <w:ind w:right="366"/>
        <w:jc w:val="both"/>
      </w:pPr>
      <w:r>
        <w:t xml:space="preserve"> Risk değerlendirmesi yerine geçmez, ancak “ön tehlike analizi” olarak tarif edilir.</w:t>
      </w:r>
    </w:p>
    <w:p w:rsidR="00F928CB" w:rsidRDefault="00F928CB" w:rsidP="00F928CB">
      <w:pPr>
        <w:pStyle w:val="ListeParagraf"/>
        <w:numPr>
          <w:ilvl w:val="1"/>
          <w:numId w:val="4"/>
        </w:numPr>
        <w:ind w:right="366"/>
        <w:jc w:val="both"/>
      </w:pPr>
      <w:r>
        <w:t>Çalışma ortamının iyileştirilmesi sağlar.</w:t>
      </w:r>
    </w:p>
    <w:p w:rsidR="00F928CB" w:rsidRDefault="00F928CB" w:rsidP="00F928CB">
      <w:pPr>
        <w:pStyle w:val="ListeParagraf"/>
        <w:numPr>
          <w:ilvl w:val="1"/>
          <w:numId w:val="4"/>
        </w:numPr>
        <w:ind w:right="366"/>
        <w:jc w:val="both"/>
      </w:pPr>
      <w:r>
        <w:t>Birimin risk haritasının çıkarılmasında ekiplere yardımcı olur.</w:t>
      </w:r>
    </w:p>
    <w:p w:rsidR="00F928CB" w:rsidRDefault="00F928CB" w:rsidP="00F928CB">
      <w:pPr>
        <w:pStyle w:val="ListeParagraf"/>
        <w:numPr>
          <w:ilvl w:val="1"/>
          <w:numId w:val="4"/>
        </w:numPr>
        <w:ind w:right="366"/>
        <w:jc w:val="both"/>
      </w:pPr>
      <w:r>
        <w:t>Fazla maliyet gerektirmez.</w:t>
      </w:r>
    </w:p>
    <w:p w:rsidR="00F928CB" w:rsidRDefault="00F928CB" w:rsidP="00F928CB">
      <w:pPr>
        <w:pStyle w:val="ListeParagraf"/>
        <w:numPr>
          <w:ilvl w:val="1"/>
          <w:numId w:val="4"/>
        </w:numPr>
        <w:ind w:right="366"/>
        <w:jc w:val="both"/>
      </w:pPr>
      <w:r>
        <w:t xml:space="preserve">Sahip olunan bütün kaynakların, taşınır depoları, arşiv, sistem odaları gibi öncelik ve önem arz eden yerlerin kontrol soruları ile </w:t>
      </w:r>
      <w:r>
        <w:rPr>
          <w:rFonts w:cs="Arial"/>
          <w:b/>
          <w:bCs/>
          <w:color w:val="000000" w:themeColor="text1"/>
          <w:kern w:val="24"/>
        </w:rPr>
        <w:t>evet-hayır</w:t>
      </w:r>
      <w:r>
        <w:rPr>
          <w:rFonts w:cs="Arial"/>
          <w:bCs/>
          <w:color w:val="000000" w:themeColor="text1"/>
          <w:kern w:val="24"/>
        </w:rPr>
        <w:t xml:space="preserve">, </w:t>
      </w:r>
      <w:r>
        <w:rPr>
          <w:rFonts w:cs="Arial"/>
          <w:b/>
          <w:bCs/>
          <w:color w:val="000000" w:themeColor="text1"/>
          <w:kern w:val="24"/>
        </w:rPr>
        <w:t>var-yok</w:t>
      </w:r>
      <w:r>
        <w:rPr>
          <w:rFonts w:cs="Arial"/>
          <w:bCs/>
          <w:color w:val="000000" w:themeColor="text1"/>
          <w:kern w:val="24"/>
        </w:rPr>
        <w:t xml:space="preserve">, </w:t>
      </w:r>
      <w:r>
        <w:rPr>
          <w:rFonts w:cs="Arial"/>
          <w:b/>
          <w:bCs/>
          <w:color w:val="000000" w:themeColor="text1"/>
          <w:kern w:val="24"/>
        </w:rPr>
        <w:t>uygun-uygun değil</w:t>
      </w:r>
      <w:r>
        <w:rPr>
          <w:rFonts w:cs="Arial"/>
          <w:bCs/>
          <w:color w:val="000000" w:themeColor="text1"/>
          <w:kern w:val="24"/>
        </w:rPr>
        <w:t xml:space="preserve">, </w:t>
      </w:r>
      <w:r>
        <w:rPr>
          <w:rFonts w:cs="Arial"/>
          <w:b/>
          <w:bCs/>
          <w:color w:val="000000" w:themeColor="text1"/>
          <w:kern w:val="24"/>
        </w:rPr>
        <w:t>yeterli-yetersiz</w:t>
      </w:r>
      <w:r>
        <w:rPr>
          <w:rFonts w:cs="Arial"/>
          <w:bCs/>
          <w:color w:val="000000" w:themeColor="text1"/>
          <w:kern w:val="24"/>
        </w:rPr>
        <w:t xml:space="preserve"> şeklinde kısa sürede kontrol edilerek, kayıp ve zarar yaşanmadan önlem alınmasını</w:t>
      </w:r>
      <w:r>
        <w:t xml:space="preserve"> sağlar.</w:t>
      </w:r>
    </w:p>
    <w:p w:rsidR="00F928CB" w:rsidRDefault="00F928CB" w:rsidP="00F928CB">
      <w:pPr>
        <w:pStyle w:val="ListeParagraf"/>
        <w:numPr>
          <w:ilvl w:val="1"/>
          <w:numId w:val="4"/>
        </w:numPr>
        <w:ind w:right="366"/>
        <w:jc w:val="both"/>
      </w:pPr>
      <w:r>
        <w:t xml:space="preserve">Makine ve teçhizatın sürekli çalışır durumda olmasını sağlar. </w:t>
      </w:r>
    </w:p>
    <w:p w:rsidR="00F928CB" w:rsidRDefault="00F928CB" w:rsidP="00F928CB">
      <w:pPr>
        <w:pStyle w:val="ListeParagraf"/>
        <w:numPr>
          <w:ilvl w:val="1"/>
          <w:numId w:val="4"/>
        </w:numPr>
        <w:ind w:right="366"/>
        <w:jc w:val="both"/>
      </w:pPr>
      <w:r>
        <w:rPr>
          <w:rFonts w:cs="Arial"/>
          <w:bCs/>
          <w:color w:val="000000" w:themeColor="text1"/>
          <w:kern w:val="24"/>
        </w:rPr>
        <w:t>Risklerin olma ihtimalini düşürür.</w:t>
      </w:r>
    </w:p>
    <w:p w:rsidR="00F928CB" w:rsidRDefault="00F928CB" w:rsidP="00F928CB">
      <w:pPr>
        <w:pStyle w:val="ListeParagraf"/>
        <w:numPr>
          <w:ilvl w:val="1"/>
          <w:numId w:val="4"/>
        </w:numPr>
        <w:ind w:right="366"/>
        <w:jc w:val="both"/>
      </w:pPr>
      <w:r>
        <w:rPr>
          <w:rFonts w:cs="Arial"/>
          <w:bCs/>
          <w:color w:val="000000" w:themeColor="text1"/>
          <w:kern w:val="24"/>
        </w:rPr>
        <w:t>“</w:t>
      </w:r>
      <w:r>
        <w:rPr>
          <w:rFonts w:cs="Arial"/>
          <w:b/>
          <w:bCs/>
          <w:color w:val="FF0000"/>
          <w:kern w:val="24"/>
        </w:rPr>
        <w:t>Hayır</w:t>
      </w:r>
      <w:r>
        <w:rPr>
          <w:rFonts w:cs="Arial"/>
          <w:bCs/>
          <w:color w:val="000000" w:themeColor="text1"/>
          <w:kern w:val="24"/>
        </w:rPr>
        <w:t>” cevaplarının çokluğu, risklere ne kadar yakın olduğunuzu gösterir.</w:t>
      </w:r>
    </w:p>
    <w:p w:rsidR="00F928CB" w:rsidRDefault="00F928CB" w:rsidP="00F928CB">
      <w:pPr>
        <w:pStyle w:val="ListeParagraf"/>
        <w:spacing w:after="0"/>
        <w:rPr>
          <w:rFonts w:cs="Arial"/>
          <w:b/>
          <w:bCs/>
          <w:color w:val="000000" w:themeColor="text1"/>
          <w:kern w:val="24"/>
        </w:rPr>
      </w:pPr>
    </w:p>
    <w:p w:rsidR="00F928CB" w:rsidRDefault="00F928CB" w:rsidP="00F928CB">
      <w:pPr>
        <w:pStyle w:val="ListeParagraf"/>
        <w:spacing w:after="0"/>
        <w:rPr>
          <w:rFonts w:cs="Arial"/>
          <w:b/>
          <w:bCs/>
          <w:color w:val="000000" w:themeColor="text1"/>
          <w:kern w:val="24"/>
        </w:rPr>
      </w:pPr>
      <w:r>
        <w:rPr>
          <w:rFonts w:cs="Arial"/>
          <w:b/>
          <w:bCs/>
          <w:color w:val="000000" w:themeColor="text1"/>
          <w:kern w:val="24"/>
        </w:rPr>
        <w:t>Tehlike ve Risk</w:t>
      </w:r>
    </w:p>
    <w:p w:rsidR="00F928CB" w:rsidRDefault="00F928CB" w:rsidP="00F928CB">
      <w:pPr>
        <w:pStyle w:val="ListeParagraf"/>
        <w:spacing w:after="0"/>
        <w:rPr>
          <w:rFonts w:cs="Arial"/>
          <w:b/>
          <w:bCs/>
          <w:color w:val="000000" w:themeColor="text1"/>
          <w:kern w:val="24"/>
        </w:rPr>
      </w:pPr>
    </w:p>
    <w:tbl>
      <w:tblPr>
        <w:tblStyle w:val="TabloKlavuzu"/>
        <w:tblW w:w="0" w:type="auto"/>
        <w:tblInd w:w="426" w:type="dxa"/>
        <w:tblLook w:val="04A0" w:firstRow="1" w:lastRow="0" w:firstColumn="1" w:lastColumn="0" w:noHBand="0" w:noVBand="1"/>
      </w:tblPr>
      <w:tblGrid>
        <w:gridCol w:w="2061"/>
        <w:gridCol w:w="2565"/>
        <w:gridCol w:w="1153"/>
        <w:gridCol w:w="2857"/>
      </w:tblGrid>
      <w:tr w:rsidR="00F928CB" w:rsidTr="00F928CB">
        <w:tc>
          <w:tcPr>
            <w:tcW w:w="23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F928CB" w:rsidRDefault="00F928CB">
            <w:pPr>
              <w:spacing w:after="0" w:line="240" w:lineRule="auto"/>
              <w:jc w:val="center"/>
              <w:rPr>
                <w:b/>
                <w:sz w:val="18"/>
                <w:szCs w:val="18"/>
              </w:rPr>
            </w:pPr>
            <w:r>
              <w:rPr>
                <w:b/>
                <w:sz w:val="18"/>
                <w:szCs w:val="18"/>
              </w:rPr>
              <w:t>Tehlike</w:t>
            </w:r>
          </w:p>
        </w:tc>
        <w:tc>
          <w:tcPr>
            <w:tcW w:w="299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F928CB" w:rsidRDefault="00F928CB">
            <w:pPr>
              <w:spacing w:after="0" w:line="240" w:lineRule="auto"/>
              <w:jc w:val="center"/>
              <w:rPr>
                <w:b/>
                <w:sz w:val="18"/>
                <w:szCs w:val="18"/>
              </w:rPr>
            </w:pPr>
            <w:r>
              <w:rPr>
                <w:b/>
                <w:sz w:val="18"/>
                <w:szCs w:val="18"/>
              </w:rPr>
              <w:t>Risk</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F928CB" w:rsidRDefault="00F928CB">
            <w:pPr>
              <w:spacing w:after="0" w:line="240" w:lineRule="auto"/>
              <w:jc w:val="center"/>
              <w:rPr>
                <w:b/>
                <w:sz w:val="18"/>
                <w:szCs w:val="18"/>
              </w:rPr>
            </w:pPr>
            <w:r>
              <w:rPr>
                <w:b/>
                <w:sz w:val="18"/>
                <w:szCs w:val="18"/>
              </w:rPr>
              <w:t>Seviye</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F928CB" w:rsidRDefault="00F928CB">
            <w:pPr>
              <w:spacing w:after="0" w:line="240" w:lineRule="auto"/>
              <w:jc w:val="center"/>
              <w:rPr>
                <w:b/>
                <w:sz w:val="18"/>
                <w:szCs w:val="18"/>
              </w:rPr>
            </w:pPr>
            <w:r>
              <w:rPr>
                <w:b/>
                <w:sz w:val="18"/>
                <w:szCs w:val="18"/>
              </w:rPr>
              <w:t>Alınması Gereken Önlemler</w:t>
            </w:r>
          </w:p>
        </w:tc>
      </w:tr>
      <w:tr w:rsidR="00F928CB" w:rsidTr="00F928CB">
        <w:tc>
          <w:tcPr>
            <w:tcW w:w="2354"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Zemindeki su birikintisi</w:t>
            </w:r>
          </w:p>
        </w:tc>
        <w:tc>
          <w:tcPr>
            <w:tcW w:w="2998"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Kayıp düşme sonucu yaralanma, kırık.</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jc w:val="center"/>
              <w:rPr>
                <w:sz w:val="18"/>
                <w:szCs w:val="18"/>
              </w:rPr>
            </w:pPr>
            <w:r>
              <w:rPr>
                <w:sz w:val="18"/>
                <w:szCs w:val="18"/>
              </w:rPr>
              <w:t>Yüksek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Su temizlemeli, uyarıcı levha konmalıdır.</w:t>
            </w:r>
          </w:p>
        </w:tc>
      </w:tr>
      <w:tr w:rsidR="00F928CB" w:rsidTr="00F928CB">
        <w:tc>
          <w:tcPr>
            <w:tcW w:w="2354"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Yetersiz aydınlatma</w:t>
            </w:r>
          </w:p>
        </w:tc>
        <w:tc>
          <w:tcPr>
            <w:tcW w:w="2998"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Görememe sonucu düşme, yaralanma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jc w:val="center"/>
              <w:rPr>
                <w:sz w:val="18"/>
                <w:szCs w:val="18"/>
              </w:rPr>
            </w:pPr>
            <w:r>
              <w:rPr>
                <w:sz w:val="18"/>
                <w:szCs w:val="18"/>
              </w:rPr>
              <w:t>Yüksek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Alanlar yeterli düzeyde aydınlatılmalıdır.</w:t>
            </w:r>
          </w:p>
        </w:tc>
      </w:tr>
      <w:tr w:rsidR="00F928CB" w:rsidTr="00F928CB">
        <w:tc>
          <w:tcPr>
            <w:tcW w:w="2354"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Kapalı alanlarda sigara içmek</w:t>
            </w:r>
          </w:p>
        </w:tc>
        <w:tc>
          <w:tcPr>
            <w:tcW w:w="2998"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Kalıcı akciğer hastalığı</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jc w:val="center"/>
              <w:rPr>
                <w:sz w:val="18"/>
                <w:szCs w:val="18"/>
              </w:rPr>
            </w:pPr>
            <w:r>
              <w:rPr>
                <w:sz w:val="18"/>
                <w:szCs w:val="18"/>
              </w:rPr>
              <w:t>Yüksek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F928CB" w:rsidRDefault="00F928CB">
            <w:pPr>
              <w:spacing w:after="0" w:line="240" w:lineRule="auto"/>
              <w:rPr>
                <w:sz w:val="18"/>
                <w:szCs w:val="18"/>
              </w:rPr>
            </w:pPr>
            <w:r>
              <w:rPr>
                <w:sz w:val="18"/>
                <w:szCs w:val="18"/>
              </w:rPr>
              <w:t>Sigara içilmesi yasaklanmalıdır.</w:t>
            </w:r>
          </w:p>
        </w:tc>
      </w:tr>
    </w:tbl>
    <w:p w:rsidR="00F928CB" w:rsidRDefault="00F928CB" w:rsidP="00F928CB">
      <w:pPr>
        <w:spacing w:after="0"/>
        <w:rPr>
          <w:rFonts w:ascii="Segoe Script" w:hAnsi="Segoe Script"/>
          <w:b/>
          <w:noProof/>
        </w:rPr>
      </w:pPr>
    </w:p>
    <w:p w:rsidR="00F928CB" w:rsidRDefault="00F928CB" w:rsidP="00F928CB">
      <w:pPr>
        <w:spacing w:after="0"/>
        <w:rPr>
          <w:b/>
        </w:rPr>
      </w:pPr>
    </w:p>
    <w:p w:rsidR="00F928CB" w:rsidRDefault="00F928CB" w:rsidP="00F928CB">
      <w:pPr>
        <w:spacing w:after="0"/>
        <w:ind w:left="426" w:right="340" w:firstLine="708"/>
        <w:jc w:val="both"/>
      </w:pPr>
      <w:r>
        <w:t xml:space="preserve">Bu kontrol formunda yer alan soruları kullanarak,  bazılarını çıkararak veya yeni sorular ekleyerek kontrol yapabilir, yakın tehlikeleri belirleyebilirsiniz. Çok zaman, eleman ve mali kaynak gerektirmeyen bu kontrolleri raporlayıp değerlendirmek şartı ile farklı alanlar veya makine teçhizat için sorular hazırlayarak faaliyetlerin sürekliliğini sağlayabilirsiniz. </w:t>
      </w:r>
    </w:p>
    <w:p w:rsidR="00F928CB" w:rsidRDefault="00F928CB" w:rsidP="00F928CB">
      <w:pPr>
        <w:spacing w:after="0"/>
        <w:ind w:left="426" w:right="340" w:firstLine="708"/>
        <w:jc w:val="both"/>
      </w:pPr>
      <w:r>
        <w:t xml:space="preserve">Her bir soru, farklı ve önemli yeni sorular üretmenizi sağlayacaktır. Taşınır depoları, güvenlik sistemleri, fotokopi ve baskı makineleri, güç kaynakları, ilaç depoları, atölyeler, laboratuvarlar, kan merkezleri, acil servisler, çamaşırhaneler, </w:t>
      </w:r>
      <w:proofErr w:type="gramStart"/>
      <w:r>
        <w:t>mutfaklardan ...</w:t>
      </w:r>
      <w:proofErr w:type="gramEnd"/>
      <w:r>
        <w:t xml:space="preserve"> </w:t>
      </w:r>
      <w:proofErr w:type="gramStart"/>
      <w:r>
        <w:t>başlayabilirsiniz</w:t>
      </w:r>
      <w:proofErr w:type="gramEnd"/>
      <w:r>
        <w:t xml:space="preserve">? </w:t>
      </w:r>
    </w:p>
    <w:p w:rsidR="00F928CB" w:rsidRDefault="00F928CB" w:rsidP="00F928CB">
      <w:pPr>
        <w:spacing w:after="0"/>
        <w:ind w:left="426" w:right="340" w:firstLine="708"/>
        <w:jc w:val="both"/>
      </w:pPr>
      <w:r>
        <w:t>Yetersiz mi oldu? Düşünün, yeniden yapın!</w:t>
      </w:r>
    </w:p>
    <w:p w:rsidR="00F928CB" w:rsidRDefault="00F928CB" w:rsidP="00F928CB">
      <w:pPr>
        <w:spacing w:after="0"/>
        <w:ind w:firstLine="284"/>
        <w:rPr>
          <w:rFonts w:ascii="Segoe Script" w:hAnsi="Segoe Script"/>
          <w:b/>
          <w:noProof/>
        </w:rPr>
      </w:pPr>
    </w:p>
    <w:p w:rsidR="00F928CB" w:rsidRDefault="00F928CB" w:rsidP="00F928CB">
      <w:pPr>
        <w:spacing w:after="0"/>
        <w:rPr>
          <w:rFonts w:ascii="Segoe Script" w:hAnsi="Segoe Script"/>
          <w:b/>
          <w:noProof/>
        </w:rPr>
      </w:pPr>
    </w:p>
    <w:p w:rsidR="00F928CB" w:rsidRDefault="00F928CB" w:rsidP="00BA2377">
      <w:pPr>
        <w:spacing w:after="0"/>
      </w:pPr>
    </w:p>
    <w:p w:rsidR="00F928CB" w:rsidRDefault="00F928CB">
      <w:pPr>
        <w:spacing w:after="160" w:line="259" w:lineRule="auto"/>
      </w:pPr>
      <w:r>
        <w:br w:type="page"/>
      </w:r>
    </w:p>
    <w:p w:rsidR="00F751A1" w:rsidRPr="007521C4" w:rsidRDefault="00BA2377" w:rsidP="00F751A1">
      <w:pPr>
        <w:spacing w:after="0"/>
        <w:rPr>
          <w:b/>
          <w:sz w:val="24"/>
          <w:szCs w:val="24"/>
        </w:rPr>
      </w:pPr>
      <w:r>
        <w:rPr>
          <w:b/>
          <w:sz w:val="28"/>
          <w:szCs w:val="28"/>
        </w:rPr>
        <w:lastRenderedPageBreak/>
        <w:t xml:space="preserve">                           </w:t>
      </w:r>
      <w:r w:rsidR="00F751A1">
        <w:rPr>
          <w:b/>
          <w:sz w:val="28"/>
          <w:szCs w:val="28"/>
        </w:rPr>
        <w:tab/>
      </w:r>
      <w:r w:rsidR="00F751A1">
        <w:rPr>
          <w:b/>
          <w:sz w:val="28"/>
          <w:szCs w:val="28"/>
        </w:rPr>
        <w:tab/>
      </w:r>
      <w:r w:rsidR="00F751A1">
        <w:rPr>
          <w:b/>
          <w:sz w:val="28"/>
          <w:szCs w:val="28"/>
        </w:rPr>
        <w:tab/>
      </w:r>
      <w:r w:rsidR="00F751A1">
        <w:rPr>
          <w:b/>
          <w:sz w:val="28"/>
          <w:szCs w:val="28"/>
        </w:rPr>
        <w:tab/>
      </w:r>
      <w:r w:rsidR="00F751A1">
        <w:rPr>
          <w:b/>
          <w:sz w:val="28"/>
          <w:szCs w:val="28"/>
        </w:rPr>
        <w:tab/>
      </w:r>
      <w:r w:rsidR="00F751A1">
        <w:rPr>
          <w:b/>
          <w:sz w:val="28"/>
          <w:szCs w:val="28"/>
        </w:rPr>
        <w:tab/>
      </w:r>
      <w:r w:rsidR="00F751A1">
        <w:rPr>
          <w:b/>
          <w:sz w:val="28"/>
          <w:szCs w:val="28"/>
        </w:rPr>
        <w:tab/>
      </w:r>
      <w:r w:rsidR="00F751A1">
        <w:rPr>
          <w:b/>
          <w:sz w:val="28"/>
          <w:szCs w:val="28"/>
        </w:rPr>
        <w:tab/>
      </w:r>
      <w:r w:rsidR="00F751A1">
        <w:rPr>
          <w:b/>
          <w:sz w:val="28"/>
          <w:szCs w:val="28"/>
        </w:rPr>
        <w:tab/>
      </w:r>
      <w:r w:rsidR="00F751A1" w:rsidRPr="007521C4">
        <w:rPr>
          <w:b/>
          <w:sz w:val="24"/>
          <w:szCs w:val="24"/>
        </w:rPr>
        <w:t xml:space="preserve"> </w:t>
      </w:r>
    </w:p>
    <w:p w:rsidR="00BA2377" w:rsidRPr="000D7D40" w:rsidRDefault="00597BF0" w:rsidP="00F751A1">
      <w:pPr>
        <w:spacing w:after="0"/>
        <w:ind w:left="2124" w:firstLine="708"/>
        <w:rPr>
          <w:b/>
          <w:sz w:val="28"/>
          <w:szCs w:val="28"/>
        </w:rPr>
      </w:pPr>
      <w:r>
        <w:rPr>
          <w:b/>
          <w:sz w:val="28"/>
          <w:szCs w:val="28"/>
        </w:rPr>
        <w:t>ATIK HİZMETLERİ KONTROL FORMU</w:t>
      </w:r>
    </w:p>
    <w:tbl>
      <w:tblPr>
        <w:tblStyle w:val="OrtaListe1-Vurgu6"/>
        <w:tblW w:w="9500" w:type="dxa"/>
        <w:tblInd w:w="392" w:type="dxa"/>
        <w:tblBorders>
          <w:top w:val="single" w:sz="24" w:space="0" w:color="70AD47" w:themeColor="accent6"/>
          <w:bottom w:val="single" w:sz="24"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3800"/>
        <w:gridCol w:w="5700"/>
      </w:tblGrid>
      <w:tr w:rsidR="00BA2377" w:rsidRPr="00746DB7" w:rsidTr="00BF57A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tcBorders>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kern w:val="24"/>
                <w:sz w:val="22"/>
                <w:szCs w:val="22"/>
              </w:rPr>
              <w:t>KURUM</w:t>
            </w:r>
          </w:p>
        </w:tc>
        <w:tc>
          <w:tcPr>
            <w:tcW w:w="5700" w:type="dxa"/>
            <w:tcBorders>
              <w:top w:val="none" w:sz="0" w:space="0" w:color="auto"/>
              <w:bottom w:val="none" w:sz="0" w:space="0" w:color="auto"/>
            </w:tcBorders>
            <w:vAlign w:val="center"/>
          </w:tcPr>
          <w:p w:rsidR="00BA2377" w:rsidRPr="003B080D" w:rsidRDefault="00BA2377" w:rsidP="00300F3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Cs/>
              </w:rPr>
            </w:pPr>
            <w:r w:rsidRPr="003B080D">
              <w:rPr>
                <w:rFonts w:asciiTheme="minorHAnsi" w:hAnsiTheme="minorHAnsi"/>
                <w:bCs/>
              </w:rPr>
              <w:t>Karadeniz Teknik Üniversitesi</w:t>
            </w: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kern w:val="24"/>
                <w:sz w:val="22"/>
                <w:szCs w:val="22"/>
              </w:rPr>
              <w:t>BİRİM</w:t>
            </w:r>
          </w:p>
        </w:tc>
        <w:tc>
          <w:tcPr>
            <w:tcW w:w="5700" w:type="dxa"/>
            <w:vAlign w:val="center"/>
          </w:tcPr>
          <w:p w:rsidR="00BA2377" w:rsidRPr="003B080D" w:rsidRDefault="00BA2377" w:rsidP="00300F3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FAALİYET ALANI</w:t>
            </w:r>
          </w:p>
        </w:tc>
        <w:tc>
          <w:tcPr>
            <w:tcW w:w="5700" w:type="dxa"/>
            <w:vAlign w:val="center"/>
          </w:tcPr>
          <w:p w:rsidR="00BA2377" w:rsidRPr="003B080D" w:rsidRDefault="00BA2377" w:rsidP="00300F3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B080D">
              <w:rPr>
                <w:rFonts w:asciiTheme="minorHAnsi" w:hAnsiTheme="minorHAnsi"/>
                <w:bCs/>
              </w:rPr>
              <w:t>Eğitim Öğretim</w:t>
            </w: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ÜST YÖNETİCİ</w:t>
            </w:r>
          </w:p>
        </w:tc>
        <w:tc>
          <w:tcPr>
            <w:tcW w:w="5700" w:type="dxa"/>
            <w:vAlign w:val="center"/>
          </w:tcPr>
          <w:p w:rsidR="00BA2377" w:rsidRPr="003B080D"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080D">
              <w:rPr>
                <w:rFonts w:asciiTheme="minorHAnsi" w:hAnsiTheme="minorHAnsi" w:cstheme="minorHAnsi"/>
                <w:sz w:val="22"/>
                <w:szCs w:val="22"/>
              </w:rPr>
              <w:t xml:space="preserve"> … Dekanı/Müdürü/Merkez Müdürü/Başhekimi/Daire Başkanı</w:t>
            </w: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SORUMLULAR VE İLETİŞİM BİLGİLERİ</w:t>
            </w:r>
          </w:p>
        </w:tc>
        <w:tc>
          <w:tcPr>
            <w:tcW w:w="5700" w:type="dxa"/>
            <w:vAlign w:val="center"/>
          </w:tcPr>
          <w:p w:rsidR="00BA2377" w:rsidRPr="003B080D" w:rsidRDefault="00BA2377" w:rsidP="00300F3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TELEFON</w:t>
            </w:r>
          </w:p>
        </w:tc>
        <w:tc>
          <w:tcPr>
            <w:tcW w:w="5700" w:type="dxa"/>
            <w:vAlign w:val="center"/>
          </w:tcPr>
          <w:p w:rsidR="00BA2377" w:rsidRPr="003B080D"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FAKS</w:t>
            </w:r>
          </w:p>
        </w:tc>
        <w:tc>
          <w:tcPr>
            <w:tcW w:w="5700" w:type="dxa"/>
            <w:vAlign w:val="center"/>
          </w:tcPr>
          <w:p w:rsidR="00BA2377" w:rsidRPr="003B080D" w:rsidRDefault="00BA2377" w:rsidP="00300F3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E-POSTA</w:t>
            </w:r>
          </w:p>
        </w:tc>
        <w:tc>
          <w:tcPr>
            <w:tcW w:w="5700" w:type="dxa"/>
            <w:vAlign w:val="center"/>
          </w:tcPr>
          <w:p w:rsidR="00BA2377" w:rsidRPr="003B080D"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WEB ADRESİ</w:t>
            </w:r>
          </w:p>
        </w:tc>
        <w:tc>
          <w:tcPr>
            <w:tcW w:w="5700" w:type="dxa"/>
            <w:vAlign w:val="center"/>
          </w:tcPr>
          <w:p w:rsidR="00BA2377" w:rsidRPr="003B080D" w:rsidRDefault="00BA2377" w:rsidP="00300F3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BİNA KULLANIM ALANI</w:t>
            </w:r>
          </w:p>
        </w:tc>
        <w:tc>
          <w:tcPr>
            <w:tcW w:w="5700" w:type="dxa"/>
            <w:vAlign w:val="center"/>
          </w:tcPr>
          <w:p w:rsidR="00BA2377" w:rsidRPr="003B080D"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Pr>
                <w:rFonts w:asciiTheme="minorHAnsi" w:hAnsiTheme="minorHAnsi" w:cstheme="minorHAnsi"/>
                <w:sz w:val="22"/>
                <w:szCs w:val="22"/>
              </w:rPr>
              <w:t>KULLANIM ALANI</w:t>
            </w:r>
          </w:p>
        </w:tc>
        <w:tc>
          <w:tcPr>
            <w:tcW w:w="5700" w:type="dxa"/>
          </w:tcPr>
          <w:p w:rsidR="00BA2377" w:rsidRPr="00413D0D" w:rsidRDefault="00BA2377" w:rsidP="00300F34">
            <w:pPr>
              <w:pStyle w:val="NormalWeb"/>
              <w:tabs>
                <w:tab w:val="right" w:pos="3829"/>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Default="00BA2377" w:rsidP="00300F34">
            <w:pPr>
              <w:pStyle w:val="NormalWeb"/>
              <w:spacing w:before="0" w:beforeAutospacing="0" w:after="0" w:afterAutospacing="0"/>
              <w:rPr>
                <w:rFonts w:asciiTheme="minorHAnsi" w:hAnsiTheme="minorHAnsi" w:cstheme="minorHAnsi"/>
                <w:b w:val="0"/>
                <w:sz w:val="22"/>
                <w:szCs w:val="22"/>
              </w:rPr>
            </w:pPr>
            <w:r>
              <w:rPr>
                <w:rFonts w:asciiTheme="minorHAnsi" w:hAnsiTheme="minorHAnsi" w:cstheme="minorHAnsi"/>
                <w:sz w:val="22"/>
                <w:szCs w:val="22"/>
              </w:rPr>
              <w:t xml:space="preserve">GENEL DURUM VE </w:t>
            </w:r>
          </w:p>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Pr>
                <w:rFonts w:asciiTheme="minorHAnsi" w:hAnsiTheme="minorHAnsi" w:cstheme="minorHAnsi"/>
                <w:sz w:val="22"/>
                <w:szCs w:val="22"/>
              </w:rPr>
              <w:t xml:space="preserve">YAŞANAN </w:t>
            </w:r>
            <w:r w:rsidRPr="00BC1352">
              <w:rPr>
                <w:rFonts w:asciiTheme="minorHAnsi" w:hAnsiTheme="minorHAnsi" w:cstheme="minorHAnsi"/>
                <w:sz w:val="22"/>
                <w:szCs w:val="22"/>
              </w:rPr>
              <w:t xml:space="preserve">ÖNEMLİ </w:t>
            </w:r>
            <w:r>
              <w:rPr>
                <w:rFonts w:asciiTheme="minorHAnsi" w:hAnsiTheme="minorHAnsi" w:cstheme="minorHAnsi"/>
                <w:sz w:val="22"/>
                <w:szCs w:val="22"/>
              </w:rPr>
              <w:t>OLAYLAR</w:t>
            </w:r>
          </w:p>
        </w:tc>
        <w:tc>
          <w:tcPr>
            <w:tcW w:w="5700" w:type="dxa"/>
          </w:tcPr>
          <w:p w:rsidR="00BA2377" w:rsidRPr="00AD7850" w:rsidRDefault="00BA2377" w:rsidP="002C73EE">
            <w:pPr>
              <w:pStyle w:val="NormalWeb"/>
              <w:spacing w:before="0" w:beforeAutospacing="0" w:after="0" w:afterAutospacing="0"/>
              <w:ind w:left="31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KAYDA DEĞER KAZALAR</w:t>
            </w:r>
          </w:p>
        </w:tc>
        <w:tc>
          <w:tcPr>
            <w:tcW w:w="5700" w:type="dxa"/>
          </w:tcPr>
          <w:p w:rsidR="00BA2377" w:rsidRPr="00AD7850" w:rsidRDefault="00BA2377" w:rsidP="002C73EE">
            <w:pPr>
              <w:pStyle w:val="NormalWeb"/>
              <w:spacing w:before="0" w:beforeAutospacing="0" w:after="0" w:afterAutospacing="0"/>
              <w:ind w:left="3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sidRPr="00BC1352">
              <w:rPr>
                <w:rFonts w:asciiTheme="minorHAnsi" w:hAnsiTheme="minorHAnsi" w:cstheme="minorHAnsi"/>
                <w:sz w:val="22"/>
                <w:szCs w:val="22"/>
              </w:rPr>
              <w:t>YAŞANAN CAN VE MAL KAYBI</w:t>
            </w:r>
          </w:p>
        </w:tc>
        <w:tc>
          <w:tcPr>
            <w:tcW w:w="5700" w:type="dxa"/>
          </w:tcPr>
          <w:p w:rsidR="00BA2377" w:rsidRPr="00AD7850"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A2377" w:rsidRPr="00746DB7" w:rsidTr="00BF57A7">
        <w:trPr>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Pr>
                <w:rFonts w:asciiTheme="minorHAnsi" w:hAnsiTheme="minorHAnsi" w:cstheme="minorHAnsi"/>
                <w:sz w:val="22"/>
                <w:szCs w:val="22"/>
              </w:rPr>
              <w:t>ÇALIŞAN SAYISI/TOPLAM YARARLANAN</w:t>
            </w:r>
          </w:p>
        </w:tc>
        <w:tc>
          <w:tcPr>
            <w:tcW w:w="5700" w:type="dxa"/>
          </w:tcPr>
          <w:p w:rsidR="00BA2377" w:rsidRPr="003B080D" w:rsidRDefault="00BA2377" w:rsidP="00300F3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2377" w:rsidRPr="00746DB7" w:rsidTr="00BF57A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800" w:type="dxa"/>
            <w:vAlign w:val="center"/>
          </w:tcPr>
          <w:p w:rsidR="00BA2377" w:rsidRPr="00BC1352" w:rsidRDefault="00BA2377" w:rsidP="00300F34">
            <w:pPr>
              <w:pStyle w:val="NormalWeb"/>
              <w:spacing w:before="0" w:beforeAutospacing="0" w:after="0" w:afterAutospacing="0"/>
              <w:rPr>
                <w:rFonts w:asciiTheme="minorHAnsi" w:hAnsiTheme="minorHAnsi" w:cstheme="minorHAnsi"/>
                <w:b w:val="0"/>
                <w:sz w:val="22"/>
                <w:szCs w:val="22"/>
              </w:rPr>
            </w:pPr>
            <w:r>
              <w:rPr>
                <w:rFonts w:asciiTheme="minorHAnsi" w:hAnsiTheme="minorHAnsi" w:cstheme="minorHAnsi"/>
                <w:sz w:val="22"/>
                <w:szCs w:val="22"/>
              </w:rPr>
              <w:t>ACİL TELEFONLAR</w:t>
            </w:r>
          </w:p>
        </w:tc>
        <w:tc>
          <w:tcPr>
            <w:tcW w:w="5700" w:type="dxa"/>
          </w:tcPr>
          <w:p w:rsidR="00BA2377" w:rsidRPr="00AD7850" w:rsidRDefault="00BA2377" w:rsidP="00300F3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408E">
              <w:rPr>
                <w:rFonts w:asciiTheme="minorHAnsi" w:hAnsiTheme="minorHAnsi" w:cstheme="minorHAnsi"/>
                <w:b/>
                <w:color w:val="FF0000"/>
                <w:sz w:val="22"/>
                <w:szCs w:val="22"/>
              </w:rPr>
              <w:t xml:space="preserve">İTFAİYE: </w:t>
            </w:r>
            <w:proofErr w:type="gramStart"/>
            <w:r w:rsidRPr="0098408E">
              <w:rPr>
                <w:rFonts w:asciiTheme="minorHAnsi" w:hAnsiTheme="minorHAnsi" w:cstheme="minorHAnsi"/>
                <w:b/>
                <w:color w:val="FF0000"/>
                <w:sz w:val="22"/>
                <w:szCs w:val="22"/>
              </w:rPr>
              <w:t>110</w:t>
            </w:r>
            <w:r w:rsidRPr="0098408E">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EE5FFE">
              <w:rPr>
                <w:rFonts w:asciiTheme="minorHAnsi" w:hAnsiTheme="minorHAnsi" w:cstheme="minorHAnsi"/>
                <w:b/>
                <w:color w:val="00B050"/>
                <w:sz w:val="22"/>
                <w:szCs w:val="22"/>
              </w:rPr>
              <w:t>AMBULANS</w:t>
            </w:r>
            <w:proofErr w:type="gramEnd"/>
            <w:r w:rsidRPr="00EE5FFE">
              <w:rPr>
                <w:rFonts w:asciiTheme="minorHAnsi" w:hAnsiTheme="minorHAnsi" w:cstheme="minorHAnsi"/>
                <w:b/>
                <w:color w:val="00B050"/>
                <w:sz w:val="22"/>
                <w:szCs w:val="22"/>
              </w:rPr>
              <w:t>: 112</w:t>
            </w:r>
            <w:r w:rsidRPr="00EE5FFE">
              <w:rPr>
                <w:rFonts w:asciiTheme="minorHAnsi" w:hAnsiTheme="minorHAnsi" w:cstheme="minorHAnsi"/>
                <w:color w:val="00B050"/>
                <w:sz w:val="22"/>
                <w:szCs w:val="22"/>
              </w:rPr>
              <w:t xml:space="preserve">  </w:t>
            </w:r>
            <w:r w:rsidRPr="0098408E">
              <w:rPr>
                <w:rFonts w:asciiTheme="minorHAnsi" w:hAnsiTheme="minorHAnsi" w:cstheme="minorHAnsi"/>
                <w:b/>
                <w:color w:val="7030A0"/>
                <w:sz w:val="22"/>
                <w:szCs w:val="22"/>
              </w:rPr>
              <w:t>POLİS:</w:t>
            </w:r>
            <w:r>
              <w:rPr>
                <w:rFonts w:asciiTheme="minorHAnsi" w:hAnsiTheme="minorHAnsi" w:cstheme="minorHAnsi"/>
                <w:b/>
                <w:color w:val="7030A0"/>
                <w:sz w:val="22"/>
                <w:szCs w:val="22"/>
              </w:rPr>
              <w:t xml:space="preserve"> 155  </w:t>
            </w:r>
            <w:r w:rsidRPr="00EE5FFE">
              <w:rPr>
                <w:rFonts w:asciiTheme="minorHAnsi" w:hAnsiTheme="minorHAnsi" w:cstheme="minorHAnsi"/>
                <w:b/>
                <w:color w:val="0070C0"/>
                <w:sz w:val="22"/>
                <w:szCs w:val="22"/>
              </w:rPr>
              <w:t>GAZ ARIZA: 187</w:t>
            </w:r>
          </w:p>
        </w:tc>
      </w:tr>
    </w:tbl>
    <w:p w:rsidR="00BA2377" w:rsidRDefault="00BA2377"/>
    <w:p w:rsidR="00BF57A7" w:rsidRDefault="00BF57A7"/>
    <w:p w:rsidR="002C73EE" w:rsidRDefault="002C73EE"/>
    <w:p w:rsidR="002C73EE" w:rsidRDefault="002C73EE"/>
    <w:p w:rsidR="002C73EE" w:rsidRDefault="002C73EE"/>
    <w:p w:rsidR="002C73EE" w:rsidRDefault="002C73EE"/>
    <w:p w:rsidR="002C73EE" w:rsidRDefault="002C73EE"/>
    <w:p w:rsidR="002C73EE" w:rsidRDefault="002C73EE"/>
    <w:p w:rsidR="002C73EE" w:rsidRDefault="002C73EE"/>
    <w:p w:rsidR="002C73EE" w:rsidRDefault="002C73EE"/>
    <w:p w:rsidR="002C73EE" w:rsidRDefault="002C73EE"/>
    <w:tbl>
      <w:tblPr>
        <w:tblStyle w:val="TabloKlavuzu1"/>
        <w:tblW w:w="11052" w:type="dxa"/>
        <w:jc w:val="center"/>
        <w:tblLook w:val="04A0" w:firstRow="1" w:lastRow="0" w:firstColumn="1" w:lastColumn="0" w:noHBand="0" w:noVBand="1"/>
      </w:tblPr>
      <w:tblGrid>
        <w:gridCol w:w="537"/>
        <w:gridCol w:w="4300"/>
        <w:gridCol w:w="651"/>
        <w:gridCol w:w="744"/>
        <w:gridCol w:w="2410"/>
        <w:gridCol w:w="2410"/>
      </w:tblGrid>
      <w:tr w:rsidR="007E6654" w:rsidRPr="00C20370" w:rsidTr="007E6654">
        <w:trPr>
          <w:trHeight w:val="510"/>
          <w:jc w:val="center"/>
        </w:trPr>
        <w:tc>
          <w:tcPr>
            <w:tcW w:w="537" w:type="dxa"/>
            <w:shd w:val="clear" w:color="auto" w:fill="E2EFD9" w:themeFill="accent6" w:themeFillTint="33"/>
            <w:vAlign w:val="center"/>
          </w:tcPr>
          <w:p w:rsidR="007E6654" w:rsidRPr="00C20370" w:rsidRDefault="007E6654" w:rsidP="00B241B0">
            <w:pPr>
              <w:jc w:val="center"/>
              <w:rPr>
                <w:rFonts w:ascii="Arial" w:eastAsia="Times New Roman" w:hAnsi="Arial" w:cs="Arial"/>
                <w:b/>
                <w:sz w:val="24"/>
                <w:szCs w:val="24"/>
                <w:lang w:eastAsia="tr-TR"/>
              </w:rPr>
            </w:pPr>
            <w:r w:rsidRPr="00C20370">
              <w:rPr>
                <w:rFonts w:ascii="Calibri" w:eastAsia="Times New Roman" w:hAnsi="Calibri" w:cs="Calibri"/>
                <w:b/>
                <w:bCs/>
                <w:color w:val="000000" w:themeColor="dark1"/>
                <w:kern w:val="24"/>
                <w:sz w:val="24"/>
                <w:szCs w:val="24"/>
                <w:lang w:eastAsia="tr-TR"/>
              </w:rPr>
              <w:lastRenderedPageBreak/>
              <w:t>NO</w:t>
            </w:r>
          </w:p>
        </w:tc>
        <w:tc>
          <w:tcPr>
            <w:tcW w:w="4300" w:type="dxa"/>
            <w:shd w:val="clear" w:color="auto" w:fill="E2EFD9" w:themeFill="accent6" w:themeFillTint="33"/>
            <w:vAlign w:val="center"/>
          </w:tcPr>
          <w:p w:rsidR="007E6654" w:rsidRPr="00C20370" w:rsidRDefault="007E6654" w:rsidP="00B241B0">
            <w:pPr>
              <w:jc w:val="center"/>
              <w:rPr>
                <w:b/>
                <w:sz w:val="24"/>
                <w:szCs w:val="24"/>
              </w:rPr>
            </w:pPr>
            <w:r w:rsidRPr="00C20370">
              <w:rPr>
                <w:rFonts w:ascii="Calibri" w:eastAsia="Times New Roman" w:hAnsi="Calibri" w:cs="Calibri"/>
                <w:b/>
                <w:bCs/>
                <w:color w:val="000000" w:themeColor="dark1"/>
                <w:kern w:val="24"/>
                <w:sz w:val="24"/>
                <w:szCs w:val="24"/>
                <w:lang w:eastAsia="tr-TR"/>
              </w:rPr>
              <w:t>KONTROL SORULARI</w:t>
            </w:r>
          </w:p>
        </w:tc>
        <w:tc>
          <w:tcPr>
            <w:tcW w:w="651" w:type="dxa"/>
            <w:shd w:val="clear" w:color="auto" w:fill="E2EFD9" w:themeFill="accent6" w:themeFillTint="33"/>
            <w:vAlign w:val="center"/>
          </w:tcPr>
          <w:p w:rsidR="007E6654" w:rsidRPr="00C20370" w:rsidRDefault="007E6654" w:rsidP="00B241B0">
            <w:pPr>
              <w:jc w:val="center"/>
              <w:rPr>
                <w:b/>
                <w:color w:val="00B050"/>
                <w:sz w:val="24"/>
                <w:szCs w:val="24"/>
              </w:rPr>
            </w:pPr>
            <w:r w:rsidRPr="00C20370">
              <w:rPr>
                <w:b/>
                <w:color w:val="00B050"/>
                <w:sz w:val="24"/>
                <w:szCs w:val="24"/>
              </w:rPr>
              <w:t>Evet</w:t>
            </w:r>
          </w:p>
          <w:p w:rsidR="007E6654" w:rsidRPr="00C20370" w:rsidRDefault="007E6654" w:rsidP="00B241B0">
            <w:pPr>
              <w:jc w:val="center"/>
              <w:rPr>
                <w:sz w:val="24"/>
                <w:szCs w:val="24"/>
              </w:rPr>
            </w:pPr>
            <w:r w:rsidRPr="00C20370">
              <w:rPr>
                <w:b/>
                <w:color w:val="00B050"/>
                <w:sz w:val="24"/>
                <w:szCs w:val="24"/>
              </w:rPr>
              <w:sym w:font="Wingdings" w:char="F04A"/>
            </w:r>
          </w:p>
        </w:tc>
        <w:tc>
          <w:tcPr>
            <w:tcW w:w="744" w:type="dxa"/>
            <w:shd w:val="clear" w:color="auto" w:fill="E2EFD9" w:themeFill="accent6" w:themeFillTint="33"/>
            <w:vAlign w:val="center"/>
          </w:tcPr>
          <w:p w:rsidR="007E6654" w:rsidRPr="00C20370" w:rsidRDefault="007E6654" w:rsidP="00B241B0">
            <w:pPr>
              <w:jc w:val="center"/>
              <w:rPr>
                <w:b/>
                <w:color w:val="FF0000"/>
                <w:sz w:val="24"/>
                <w:szCs w:val="24"/>
              </w:rPr>
            </w:pPr>
            <w:r w:rsidRPr="00C20370">
              <w:rPr>
                <w:b/>
                <w:color w:val="FF0000"/>
                <w:sz w:val="24"/>
                <w:szCs w:val="24"/>
              </w:rPr>
              <w:t>Hayır</w:t>
            </w:r>
          </w:p>
          <w:p w:rsidR="007E6654" w:rsidRPr="00C20370" w:rsidRDefault="007E6654" w:rsidP="00B241B0">
            <w:pPr>
              <w:jc w:val="center"/>
              <w:rPr>
                <w:sz w:val="24"/>
                <w:szCs w:val="24"/>
              </w:rPr>
            </w:pPr>
            <w:r w:rsidRPr="00C20370">
              <w:rPr>
                <w:b/>
                <w:color w:val="FF0000"/>
                <w:sz w:val="24"/>
                <w:szCs w:val="24"/>
              </w:rPr>
              <w:sym w:font="Wingdings" w:char="F04C"/>
            </w:r>
          </w:p>
        </w:tc>
        <w:tc>
          <w:tcPr>
            <w:tcW w:w="2410" w:type="dxa"/>
            <w:shd w:val="clear" w:color="auto" w:fill="E2EFD9" w:themeFill="accent6" w:themeFillTint="33"/>
            <w:vAlign w:val="center"/>
          </w:tcPr>
          <w:p w:rsidR="007E6654" w:rsidRPr="007E6654" w:rsidRDefault="007E6654" w:rsidP="007E6654">
            <w:pPr>
              <w:jc w:val="center"/>
              <w:rPr>
                <w:b/>
                <w:color w:val="000000" w:themeColor="text1"/>
                <w:sz w:val="24"/>
                <w:szCs w:val="24"/>
              </w:rPr>
            </w:pPr>
            <w:r w:rsidRPr="007E6654">
              <w:rPr>
                <w:b/>
                <w:color w:val="000000" w:themeColor="text1"/>
                <w:sz w:val="24"/>
                <w:szCs w:val="24"/>
              </w:rPr>
              <w:t>Mevcut Durum</w:t>
            </w:r>
          </w:p>
        </w:tc>
        <w:tc>
          <w:tcPr>
            <w:tcW w:w="2410" w:type="dxa"/>
            <w:shd w:val="clear" w:color="auto" w:fill="E2EFD9" w:themeFill="accent6" w:themeFillTint="33"/>
            <w:vAlign w:val="center"/>
          </w:tcPr>
          <w:p w:rsidR="007E6654" w:rsidRPr="007E6654" w:rsidRDefault="007E6654" w:rsidP="007E6654">
            <w:pPr>
              <w:jc w:val="center"/>
              <w:rPr>
                <w:b/>
                <w:color w:val="000000" w:themeColor="text1"/>
                <w:sz w:val="24"/>
                <w:szCs w:val="24"/>
              </w:rPr>
            </w:pPr>
            <w:r w:rsidRPr="007E6654">
              <w:rPr>
                <w:b/>
                <w:color w:val="000000" w:themeColor="text1"/>
                <w:sz w:val="24"/>
                <w:szCs w:val="24"/>
              </w:rPr>
              <w:t>Alınması Gereken Önlem</w:t>
            </w: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Çalışanlara atık yönetimi ile ilgili eğitim verildi mi?</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2</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Atıklar düzenli olarak uzaklaştırılıyor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3</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Atıkların çevreye zarar vermeden, kirletmeden uygun bir şekilde taşınması sağlanıyor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4</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 kutuları uygun yerlere konumlandırılmış mı?</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352"/>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5</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 pillerin geçici depolanmasında iç ve dış yüzeyleri korozyona dayanıklı konteynerler kullanılıyor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6</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 pillerin evsel ve/veya diğer atıklarla karıştırılmamasına dikkat ediliyor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7</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proofErr w:type="spellStart"/>
            <w:r w:rsidRPr="002872B0">
              <w:rPr>
                <w:rFonts w:asciiTheme="minorHAnsi" w:hAnsiTheme="minorHAnsi" w:cstheme="minorHAnsi"/>
                <w:sz w:val="20"/>
                <w:szCs w:val="20"/>
              </w:rPr>
              <w:t>Biyo-bozunur</w:t>
            </w:r>
            <w:proofErr w:type="spellEnd"/>
            <w:r w:rsidRPr="002872B0">
              <w:rPr>
                <w:rFonts w:asciiTheme="minorHAnsi" w:hAnsiTheme="minorHAnsi" w:cstheme="minorHAnsi"/>
                <w:sz w:val="20"/>
                <w:szCs w:val="20"/>
              </w:rPr>
              <w:t xml:space="preserve"> atıklar, geri kazanılabilir atıklarla karıştırılmadan ikili toplama sistemiyle kaynağında ayrı toplanıyor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8</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Rüzgârın etkisiyle kâğıt, naylon torba ve ince plastik gibi atıkların yayılmasının önlenmesi için gerekli tedbir alınmış mı?</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9</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 xml:space="preserve">Kullanılan kimyasalların </w:t>
            </w:r>
            <w:proofErr w:type="gramStart"/>
            <w:r w:rsidRPr="002872B0">
              <w:rPr>
                <w:rFonts w:asciiTheme="minorHAnsi" w:hAnsiTheme="minorHAnsi" w:cstheme="minorHAnsi"/>
                <w:sz w:val="20"/>
                <w:szCs w:val="20"/>
              </w:rPr>
              <w:t>envanteri</w:t>
            </w:r>
            <w:proofErr w:type="gramEnd"/>
            <w:r w:rsidRPr="002872B0">
              <w:rPr>
                <w:rFonts w:asciiTheme="minorHAnsi" w:hAnsiTheme="minorHAnsi" w:cstheme="minorHAnsi"/>
                <w:sz w:val="20"/>
                <w:szCs w:val="20"/>
              </w:rPr>
              <w:t xml:space="preserve"> mevcut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10</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Kullanılan kimyasalların kutuları boş da olsa nasıl taşınacakları ve atılacakları konusunda çalışanlar bilgilendiriliyor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11</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Çalışanlar atıkları toplarken, taşırken KKD kullanıyor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12</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Yeterli sayıda krom ve plastik çöp kovası mevcut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13</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 sınıfına göre biriktirilecek uygun renklerde çöp kutuları mevcut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14</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Sıfır atık yönetim sistemi kapsamında atıkların kaynağında türlerine göre ayrı biriktirilmesi sağlanıyor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15</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Kaynağında ayrı biriktirilen atıkların karıştırılmadan ayrı olarak toplanması sağlanıyor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16</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Biriktirilen atıkların ilgili idarenin toplama sistemine ve/veya izin ve/veya çevre lisansı bulunan atık işleme tesislerine teslim edilmek üzere, oluşturulan geçici depolama alanında toplanması sağlanıyor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17</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 xml:space="preserve">Atık ilaçların toplanması için </w:t>
            </w:r>
            <w:r w:rsidR="00E90F24">
              <w:rPr>
                <w:rFonts w:asciiTheme="minorHAnsi" w:hAnsiTheme="minorHAnsi" w:cstheme="minorHAnsi"/>
                <w:sz w:val="20"/>
                <w:szCs w:val="20"/>
              </w:rPr>
              <w:t>p</w:t>
            </w:r>
            <w:r w:rsidRPr="002872B0">
              <w:rPr>
                <w:rFonts w:asciiTheme="minorHAnsi" w:hAnsiTheme="minorHAnsi" w:cstheme="minorHAnsi"/>
                <w:sz w:val="20"/>
                <w:szCs w:val="20"/>
              </w:rPr>
              <w:t xml:space="preserve">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w:t>
            </w:r>
            <w:r w:rsidRPr="002872B0">
              <w:rPr>
                <w:rFonts w:asciiTheme="minorHAnsi" w:hAnsiTheme="minorHAnsi" w:cstheme="minorHAnsi"/>
                <w:sz w:val="20"/>
                <w:szCs w:val="20"/>
              </w:rPr>
              <w:lastRenderedPageBreak/>
              <w:t>vermeyecek şekilde teşkil eden beyaz renkli biriktirme ekipmanı mevcut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lastRenderedPageBreak/>
              <w:t>18</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Ekipmanların üzerinde hangi atıkların atılabileceği yazı ve/veya şekillerle belirtilmiş mi?</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19</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Çöp kutuları dolmadan ve fazla bekletmeden boşaltılması sağlanıyor mu?</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20</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Atıklar için görevli personelin görevlendirmesi var mı?</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2872B0" w:rsidRDefault="007E6654" w:rsidP="00D77872">
            <w:pPr>
              <w:jc w:val="center"/>
              <w:rPr>
                <w:rFonts w:cstheme="minorHAnsi"/>
                <w:bCs/>
                <w:sz w:val="20"/>
                <w:szCs w:val="20"/>
              </w:rPr>
            </w:pPr>
            <w:r w:rsidRPr="002872B0">
              <w:rPr>
                <w:rFonts w:cstheme="minorHAnsi"/>
                <w:bCs/>
                <w:sz w:val="20"/>
                <w:szCs w:val="20"/>
              </w:rPr>
              <w:t>21</w:t>
            </w:r>
          </w:p>
        </w:tc>
        <w:tc>
          <w:tcPr>
            <w:tcW w:w="4300" w:type="dxa"/>
            <w:shd w:val="clear" w:color="auto" w:fill="FFFFFF" w:themeFill="background1"/>
            <w:vAlign w:val="center"/>
          </w:tcPr>
          <w:p w:rsidR="007E6654" w:rsidRPr="002872B0" w:rsidRDefault="007E6654" w:rsidP="00D77872">
            <w:pPr>
              <w:pStyle w:val="NormalWeb"/>
              <w:spacing w:before="0" w:beforeAutospacing="0" w:after="0" w:afterAutospacing="0"/>
              <w:rPr>
                <w:rFonts w:asciiTheme="minorHAnsi" w:hAnsiTheme="minorHAnsi" w:cstheme="minorHAnsi"/>
                <w:sz w:val="20"/>
                <w:szCs w:val="20"/>
              </w:rPr>
            </w:pPr>
            <w:r w:rsidRPr="002872B0">
              <w:rPr>
                <w:rFonts w:asciiTheme="minorHAnsi" w:hAnsiTheme="minorHAnsi" w:cstheme="minorHAnsi"/>
                <w:sz w:val="20"/>
                <w:szCs w:val="20"/>
              </w:rPr>
              <w:t>Atık yönetiminde yeterli sayıda çalışan görevlendirilmiş mi?</w:t>
            </w: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D77872" w:rsidRDefault="007E6654" w:rsidP="00D77872">
            <w:pPr>
              <w:jc w:val="center"/>
              <w:rPr>
                <w:bCs/>
                <w:sz w:val="20"/>
                <w:szCs w:val="20"/>
              </w:rPr>
            </w:pPr>
            <w:r w:rsidRPr="00D77872">
              <w:rPr>
                <w:bCs/>
                <w:sz w:val="20"/>
                <w:szCs w:val="20"/>
              </w:rPr>
              <w:t>22</w:t>
            </w:r>
          </w:p>
        </w:tc>
        <w:tc>
          <w:tcPr>
            <w:tcW w:w="4300" w:type="dxa"/>
            <w:shd w:val="clear" w:color="auto" w:fill="FFFFFF" w:themeFill="background1"/>
            <w:vAlign w:val="center"/>
          </w:tcPr>
          <w:p w:rsidR="007E6654" w:rsidRPr="00D77872" w:rsidRDefault="007E6654" w:rsidP="00D77872">
            <w:pPr>
              <w:pStyle w:val="NormalWeb"/>
              <w:spacing w:before="0" w:beforeAutospacing="0" w:after="0" w:afterAutospacing="0"/>
              <w:rPr>
                <w:rFonts w:asciiTheme="minorHAnsi" w:hAnsiTheme="minorHAnsi" w:cstheme="minorHAnsi"/>
                <w:sz w:val="18"/>
                <w:szCs w:val="18"/>
              </w:rPr>
            </w:pP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D77872" w:rsidRDefault="007E6654" w:rsidP="00D77872">
            <w:pPr>
              <w:jc w:val="center"/>
              <w:rPr>
                <w:bCs/>
                <w:sz w:val="20"/>
                <w:szCs w:val="20"/>
              </w:rPr>
            </w:pPr>
            <w:r w:rsidRPr="00D77872">
              <w:rPr>
                <w:bCs/>
                <w:sz w:val="20"/>
                <w:szCs w:val="20"/>
              </w:rPr>
              <w:t>23</w:t>
            </w:r>
          </w:p>
        </w:tc>
        <w:tc>
          <w:tcPr>
            <w:tcW w:w="4300" w:type="dxa"/>
            <w:shd w:val="clear" w:color="auto" w:fill="FFFFFF" w:themeFill="background1"/>
            <w:vAlign w:val="center"/>
          </w:tcPr>
          <w:p w:rsidR="007E6654" w:rsidRPr="00D77872" w:rsidRDefault="007E6654" w:rsidP="00D77872">
            <w:pPr>
              <w:pStyle w:val="NormalWeb"/>
              <w:spacing w:before="0" w:beforeAutospacing="0" w:after="0" w:afterAutospacing="0"/>
              <w:rPr>
                <w:rFonts w:asciiTheme="minorHAnsi" w:hAnsiTheme="minorHAnsi" w:cstheme="minorHAnsi"/>
                <w:sz w:val="18"/>
                <w:szCs w:val="18"/>
              </w:rPr>
            </w:pP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2410" w:type="dxa"/>
            <w:shd w:val="clear" w:color="auto" w:fill="FFFFFF" w:themeFill="background1"/>
          </w:tcPr>
          <w:p w:rsidR="007E6654" w:rsidRPr="00D77872" w:rsidRDefault="007E6654" w:rsidP="00D77872">
            <w:pPr>
              <w:pStyle w:val="NormalWeb"/>
              <w:spacing w:before="0" w:beforeAutospacing="0" w:after="0" w:afterAutospacing="0"/>
              <w:jc w:val="center"/>
              <w:rPr>
                <w:rFonts w:ascii="Arial" w:hAnsi="Arial" w:cs="Arial"/>
                <w:sz w:val="20"/>
                <w:szCs w:val="20"/>
              </w:rPr>
            </w:pPr>
          </w:p>
        </w:tc>
      </w:tr>
      <w:tr w:rsidR="007E6654" w:rsidRPr="00D77872" w:rsidTr="007E6654">
        <w:trPr>
          <w:trHeight w:val="454"/>
          <w:jc w:val="center"/>
        </w:trPr>
        <w:tc>
          <w:tcPr>
            <w:tcW w:w="537" w:type="dxa"/>
            <w:shd w:val="clear" w:color="auto" w:fill="FFFFFF" w:themeFill="background1"/>
            <w:vAlign w:val="center"/>
          </w:tcPr>
          <w:p w:rsidR="007E6654" w:rsidRPr="00D77872" w:rsidRDefault="007E6654" w:rsidP="00D77872">
            <w:pPr>
              <w:jc w:val="center"/>
              <w:rPr>
                <w:bCs/>
                <w:sz w:val="20"/>
                <w:szCs w:val="20"/>
              </w:rPr>
            </w:pPr>
            <w:r w:rsidRPr="00D77872">
              <w:rPr>
                <w:bCs/>
                <w:sz w:val="20"/>
                <w:szCs w:val="20"/>
              </w:rPr>
              <w:t>24</w:t>
            </w:r>
          </w:p>
        </w:tc>
        <w:tc>
          <w:tcPr>
            <w:tcW w:w="4300" w:type="dxa"/>
            <w:shd w:val="clear" w:color="auto" w:fill="FFFFFF" w:themeFill="background1"/>
            <w:vAlign w:val="center"/>
          </w:tcPr>
          <w:p w:rsidR="007E6654" w:rsidRPr="00D77872" w:rsidRDefault="007E6654" w:rsidP="00D77872">
            <w:pPr>
              <w:pStyle w:val="NormalWeb"/>
              <w:spacing w:before="0" w:beforeAutospacing="0" w:after="0" w:afterAutospacing="0"/>
              <w:rPr>
                <w:rFonts w:asciiTheme="minorHAnsi" w:hAnsiTheme="minorHAnsi" w:cstheme="minorHAnsi"/>
                <w:sz w:val="18"/>
                <w:szCs w:val="18"/>
              </w:rPr>
            </w:pP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D77872" w:rsidRDefault="007E6654" w:rsidP="00D77872">
            <w:pPr>
              <w:jc w:val="center"/>
              <w:rPr>
                <w:bCs/>
                <w:sz w:val="20"/>
                <w:szCs w:val="20"/>
              </w:rPr>
            </w:pPr>
            <w:r w:rsidRPr="00D77872">
              <w:rPr>
                <w:bCs/>
                <w:sz w:val="20"/>
                <w:szCs w:val="20"/>
              </w:rPr>
              <w:t>25</w:t>
            </w:r>
          </w:p>
        </w:tc>
        <w:tc>
          <w:tcPr>
            <w:tcW w:w="4300" w:type="dxa"/>
            <w:shd w:val="clear" w:color="auto" w:fill="FFFFFF" w:themeFill="background1"/>
            <w:vAlign w:val="center"/>
          </w:tcPr>
          <w:p w:rsidR="007E6654" w:rsidRPr="00D77872" w:rsidRDefault="007E6654" w:rsidP="00D77872">
            <w:pPr>
              <w:pStyle w:val="NormalWeb"/>
              <w:spacing w:before="0" w:beforeAutospacing="0" w:after="0" w:afterAutospacing="0"/>
              <w:rPr>
                <w:rFonts w:asciiTheme="minorHAnsi" w:hAnsiTheme="minorHAnsi" w:cstheme="minorHAnsi"/>
                <w:sz w:val="18"/>
                <w:szCs w:val="18"/>
              </w:rPr>
            </w:pP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r w:rsidR="007E6654" w:rsidRPr="00D77872" w:rsidTr="007E6654">
        <w:trPr>
          <w:trHeight w:val="454"/>
          <w:jc w:val="center"/>
        </w:trPr>
        <w:tc>
          <w:tcPr>
            <w:tcW w:w="537" w:type="dxa"/>
            <w:shd w:val="clear" w:color="auto" w:fill="FFFFFF" w:themeFill="background1"/>
            <w:vAlign w:val="center"/>
          </w:tcPr>
          <w:p w:rsidR="007E6654" w:rsidRPr="00D77872" w:rsidRDefault="007E6654" w:rsidP="00D77872">
            <w:pPr>
              <w:jc w:val="center"/>
              <w:rPr>
                <w:bCs/>
                <w:sz w:val="20"/>
                <w:szCs w:val="20"/>
              </w:rPr>
            </w:pPr>
            <w:r w:rsidRPr="00D77872">
              <w:rPr>
                <w:bCs/>
                <w:sz w:val="20"/>
                <w:szCs w:val="20"/>
              </w:rPr>
              <w:t>26</w:t>
            </w:r>
          </w:p>
        </w:tc>
        <w:tc>
          <w:tcPr>
            <w:tcW w:w="4300" w:type="dxa"/>
            <w:shd w:val="clear" w:color="auto" w:fill="FFFFFF" w:themeFill="background1"/>
            <w:vAlign w:val="center"/>
          </w:tcPr>
          <w:p w:rsidR="007E6654" w:rsidRPr="00D77872" w:rsidRDefault="007E6654" w:rsidP="00D77872">
            <w:pPr>
              <w:pStyle w:val="NormalWeb"/>
              <w:spacing w:before="0" w:beforeAutospacing="0" w:after="0" w:afterAutospacing="0"/>
              <w:rPr>
                <w:rFonts w:asciiTheme="minorHAnsi" w:hAnsiTheme="minorHAnsi" w:cstheme="minorHAnsi"/>
                <w:sz w:val="18"/>
                <w:szCs w:val="18"/>
              </w:rPr>
            </w:pPr>
          </w:p>
        </w:tc>
        <w:tc>
          <w:tcPr>
            <w:tcW w:w="651" w:type="dxa"/>
            <w:shd w:val="clear" w:color="auto" w:fill="FFFFFF" w:themeFill="background1"/>
            <w:vAlign w:val="center"/>
          </w:tcPr>
          <w:p w:rsidR="007E6654" w:rsidRPr="00D77872" w:rsidRDefault="007E6654" w:rsidP="00D77872">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c>
          <w:tcPr>
            <w:tcW w:w="2410" w:type="dxa"/>
            <w:shd w:val="clear" w:color="auto" w:fill="FFFFFF" w:themeFill="background1"/>
          </w:tcPr>
          <w:p w:rsidR="007E6654" w:rsidRPr="00D77872" w:rsidRDefault="007E6654" w:rsidP="00D77872">
            <w:pPr>
              <w:rPr>
                <w:rFonts w:ascii="Arial" w:hAnsi="Arial" w:cs="Arial"/>
                <w:sz w:val="18"/>
                <w:szCs w:val="18"/>
              </w:rPr>
            </w:pPr>
          </w:p>
        </w:tc>
      </w:tr>
    </w:tbl>
    <w:p w:rsidR="00A8549C" w:rsidRDefault="00A8549C" w:rsidP="00D77872"/>
    <w:p w:rsidR="007E6654" w:rsidRDefault="007E6654" w:rsidP="00D77872"/>
    <w:p w:rsidR="007E6654" w:rsidRDefault="007E6654" w:rsidP="007E6654"/>
    <w:p w:rsidR="007E6654" w:rsidRDefault="007E6654" w:rsidP="007E6654">
      <w:pPr>
        <w:spacing w:before="120" w:after="0"/>
        <w:rPr>
          <w:b/>
          <w:color w:val="FF0000"/>
        </w:rPr>
      </w:pPr>
      <w:r w:rsidRPr="007523AA">
        <w:rPr>
          <w:b/>
          <w:color w:val="FF0000"/>
        </w:rPr>
        <w:t xml:space="preserve">KONTROL </w:t>
      </w:r>
      <w:r>
        <w:rPr>
          <w:b/>
          <w:color w:val="FF0000"/>
        </w:rPr>
        <w:t xml:space="preserve">TARİHİ:  </w:t>
      </w:r>
    </w:p>
    <w:p w:rsidR="007E6654" w:rsidRDefault="007E6654" w:rsidP="007E6654">
      <w:pPr>
        <w:spacing w:after="0"/>
        <w:rPr>
          <w:b/>
          <w:color w:val="FF0000"/>
        </w:rPr>
      </w:pPr>
    </w:p>
    <w:p w:rsidR="007E6654" w:rsidRDefault="007E6654" w:rsidP="007E6654">
      <w:pPr>
        <w:spacing w:after="0"/>
        <w:rPr>
          <w:b/>
        </w:rPr>
      </w:pPr>
      <w:r w:rsidRPr="007523AA">
        <w:rPr>
          <w:b/>
          <w:color w:val="FF0000"/>
        </w:rPr>
        <w:t xml:space="preserve">KONTROL </w:t>
      </w:r>
      <w:r>
        <w:rPr>
          <w:b/>
          <w:color w:val="FF0000"/>
        </w:rPr>
        <w:t>EDENLER</w:t>
      </w:r>
    </w:p>
    <w:p w:rsidR="007E6654" w:rsidRDefault="007E6654" w:rsidP="007E6654">
      <w:pPr>
        <w:spacing w:after="0"/>
        <w:rPr>
          <w:b/>
        </w:rPr>
      </w:pPr>
    </w:p>
    <w:p w:rsidR="007E6654" w:rsidRDefault="007E6654" w:rsidP="007E6654">
      <w:pPr>
        <w:spacing w:after="0"/>
        <w:rPr>
          <w:b/>
        </w:rPr>
      </w:pPr>
    </w:p>
    <w:p w:rsidR="007E6654" w:rsidRDefault="007E6654" w:rsidP="007E6654">
      <w:pPr>
        <w:spacing w:after="0"/>
        <w:rPr>
          <w:b/>
          <w:color w:val="FF0000"/>
        </w:rPr>
      </w:pPr>
    </w:p>
    <w:p w:rsidR="007E6654" w:rsidRPr="00A14FC1" w:rsidRDefault="007E6654" w:rsidP="00D77872">
      <w:pPr>
        <w:rPr>
          <w:b/>
          <w:color w:val="FF0000"/>
        </w:rPr>
      </w:pPr>
      <w:r>
        <w:rPr>
          <w:b/>
          <w:color w:val="FF0000"/>
        </w:rPr>
        <w:br w:type="page"/>
      </w:r>
      <w:bookmarkStart w:id="0" w:name="_GoBack"/>
      <w:bookmarkEnd w:id="0"/>
    </w:p>
    <w:sectPr w:rsidR="007E6654" w:rsidRPr="00A14F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25" w:rsidRDefault="00161725" w:rsidP="00A14FC1">
      <w:pPr>
        <w:spacing w:after="0" w:line="240" w:lineRule="auto"/>
      </w:pPr>
      <w:r>
        <w:separator/>
      </w:r>
    </w:p>
  </w:endnote>
  <w:endnote w:type="continuationSeparator" w:id="0">
    <w:p w:rsidR="00161725" w:rsidRDefault="00161725" w:rsidP="00A1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A2"/>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25" w:rsidRDefault="00161725" w:rsidP="00A14FC1">
      <w:pPr>
        <w:spacing w:after="0" w:line="240" w:lineRule="auto"/>
      </w:pPr>
      <w:r>
        <w:separator/>
      </w:r>
    </w:p>
  </w:footnote>
  <w:footnote w:type="continuationSeparator" w:id="0">
    <w:p w:rsidR="00161725" w:rsidRDefault="00161725" w:rsidP="00A1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C1" w:rsidRDefault="00A14FC1">
    <w:pPr>
      <w:pStyle w:val="stBilgi"/>
    </w:pPr>
    <w:r>
      <w:rPr>
        <w:noProof/>
        <w:lang w:eastAsia="tr-TR"/>
      </w:rPr>
      <w:drawing>
        <wp:inline distT="0" distB="0" distL="0" distR="0">
          <wp:extent cx="1797924" cy="8991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Ü Logo 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336" cy="900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21EAA"/>
    <w:multiLevelType w:val="hybridMultilevel"/>
    <w:tmpl w:val="6B8C79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636273"/>
    <w:multiLevelType w:val="hybridMultilevel"/>
    <w:tmpl w:val="62B4E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545DBD"/>
    <w:multiLevelType w:val="hybridMultilevel"/>
    <w:tmpl w:val="C0E45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72"/>
    <w:rsid w:val="00161725"/>
    <w:rsid w:val="001B717A"/>
    <w:rsid w:val="002872B0"/>
    <w:rsid w:val="0028745F"/>
    <w:rsid w:val="002C73EE"/>
    <w:rsid w:val="00597BF0"/>
    <w:rsid w:val="006443F5"/>
    <w:rsid w:val="007521C4"/>
    <w:rsid w:val="007E6654"/>
    <w:rsid w:val="008C418C"/>
    <w:rsid w:val="00A14FC1"/>
    <w:rsid w:val="00A8549C"/>
    <w:rsid w:val="00BA2377"/>
    <w:rsid w:val="00BF57A7"/>
    <w:rsid w:val="00D77872"/>
    <w:rsid w:val="00E90F24"/>
    <w:rsid w:val="00F751A1"/>
    <w:rsid w:val="00F928CB"/>
    <w:rsid w:val="00FC2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D814"/>
  <w15:chartTrackingRefBased/>
  <w15:docId w15:val="{A96B95B0-4B38-4F0D-9355-26EC2044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7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Normal (Web) Char"/>
    <w:basedOn w:val="Normal"/>
    <w:link w:val="NormalWebChar1"/>
    <w:uiPriority w:val="99"/>
    <w:unhideWhenUsed/>
    <w:rsid w:val="00D7787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D7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D7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C240F"/>
    <w:pPr>
      <w:ind w:left="720"/>
      <w:contextualSpacing/>
    </w:pPr>
    <w:rPr>
      <w:rFonts w:eastAsiaTheme="minorEastAsia"/>
      <w:lang w:eastAsia="tr-TR"/>
    </w:rPr>
  </w:style>
  <w:style w:type="table" w:customStyle="1" w:styleId="TabloKlavuzu2">
    <w:name w:val="Tablo Kılavuzu2"/>
    <w:basedOn w:val="NormalTablo"/>
    <w:next w:val="TabloKlavuzu"/>
    <w:uiPriority w:val="59"/>
    <w:rsid w:val="0028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Char,Normal (Web) Char Char Char Char Char,Normal (Web) Char Char1"/>
    <w:link w:val="NormalWeb"/>
    <w:uiPriority w:val="99"/>
    <w:locked/>
    <w:rsid w:val="00BA2377"/>
    <w:rPr>
      <w:rFonts w:ascii="Times New Roman" w:eastAsia="Times New Roman" w:hAnsi="Times New Roman" w:cs="Times New Roman"/>
      <w:sz w:val="24"/>
      <w:szCs w:val="24"/>
      <w:lang w:eastAsia="tr-TR"/>
    </w:rPr>
  </w:style>
  <w:style w:type="table" w:styleId="OrtaListe1-Vurgu6">
    <w:name w:val="Medium List 1 Accent 6"/>
    <w:basedOn w:val="NormalTablo"/>
    <w:uiPriority w:val="65"/>
    <w:rsid w:val="00BA2377"/>
    <w:pPr>
      <w:spacing w:after="0" w:line="240" w:lineRule="auto"/>
    </w:pPr>
    <w:rPr>
      <w:rFonts w:ascii="Calibri" w:eastAsia="Calibri" w:hAnsi="Calibri" w:cs="Times New Roman"/>
      <w:color w:val="000000" w:themeColor="text1"/>
      <w:lang w:eastAsia="tr-T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styleId="stBilgi">
    <w:name w:val="header"/>
    <w:basedOn w:val="Normal"/>
    <w:link w:val="stBilgiChar"/>
    <w:uiPriority w:val="99"/>
    <w:unhideWhenUsed/>
    <w:rsid w:val="00A14F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4FC1"/>
  </w:style>
  <w:style w:type="paragraph" w:styleId="AltBilgi">
    <w:name w:val="footer"/>
    <w:basedOn w:val="Normal"/>
    <w:link w:val="AltBilgiChar"/>
    <w:uiPriority w:val="99"/>
    <w:unhideWhenUsed/>
    <w:rsid w:val="00A14F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4765">
      <w:bodyDiv w:val="1"/>
      <w:marLeft w:val="0"/>
      <w:marRight w:val="0"/>
      <w:marTop w:val="0"/>
      <w:marBottom w:val="0"/>
      <w:divBdr>
        <w:top w:val="none" w:sz="0" w:space="0" w:color="auto"/>
        <w:left w:val="none" w:sz="0" w:space="0" w:color="auto"/>
        <w:bottom w:val="none" w:sz="0" w:space="0" w:color="auto"/>
        <w:right w:val="none" w:sz="0" w:space="0" w:color="auto"/>
      </w:divBdr>
    </w:div>
    <w:div w:id="1614437058">
      <w:bodyDiv w:val="1"/>
      <w:marLeft w:val="0"/>
      <w:marRight w:val="0"/>
      <w:marTop w:val="0"/>
      <w:marBottom w:val="0"/>
      <w:divBdr>
        <w:top w:val="none" w:sz="0" w:space="0" w:color="auto"/>
        <w:left w:val="none" w:sz="0" w:space="0" w:color="auto"/>
        <w:bottom w:val="none" w:sz="0" w:space="0" w:color="auto"/>
        <w:right w:val="none" w:sz="0" w:space="0" w:color="auto"/>
      </w:divBdr>
    </w:div>
    <w:div w:id="16728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2022-03-30T07:54:00Z</dcterms:created>
  <dcterms:modified xsi:type="dcterms:W3CDTF">2023-12-15T08:52:00Z</dcterms:modified>
</cp:coreProperties>
</file>