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29F81" w14:textId="783A4067" w:rsidR="00514497" w:rsidRPr="0045592A" w:rsidRDefault="00B30983" w:rsidP="0042487E">
      <w:pPr>
        <w:jc w:val="center"/>
        <w:rPr>
          <w:rFonts w:ascii="Arial" w:hAnsi="Arial" w:cs="Arial"/>
          <w:lang w:val="en-US"/>
        </w:rPr>
      </w:pPr>
      <w:r>
        <w:rPr>
          <w:rFonts w:ascii="Arial" w:hAnsi="Arial" w:cs="Arial"/>
          <w:b/>
          <w:bCs/>
          <w:lang w:val="en-US"/>
        </w:rPr>
        <w:t xml:space="preserve">……………………… </w:t>
      </w:r>
      <w:proofErr w:type="spellStart"/>
      <w:r w:rsidRPr="00B30983">
        <w:rPr>
          <w:rFonts w:ascii="Arial" w:hAnsi="Arial" w:cs="Arial"/>
          <w:b/>
          <w:bCs/>
          <w:lang w:val="en-US"/>
        </w:rPr>
        <w:t>Tezli</w:t>
      </w:r>
      <w:proofErr w:type="spellEnd"/>
      <w:r w:rsidRPr="00B30983">
        <w:rPr>
          <w:rFonts w:ascii="Arial" w:hAnsi="Arial" w:cs="Arial"/>
          <w:b/>
          <w:bCs/>
          <w:lang w:val="en-US"/>
        </w:rPr>
        <w:t xml:space="preserve"> </w:t>
      </w:r>
      <w:proofErr w:type="spellStart"/>
      <w:r w:rsidRPr="00B30983">
        <w:rPr>
          <w:rFonts w:ascii="Arial" w:hAnsi="Arial" w:cs="Arial"/>
          <w:b/>
          <w:bCs/>
          <w:lang w:val="en-US"/>
        </w:rPr>
        <w:t>Yüksek</w:t>
      </w:r>
      <w:proofErr w:type="spellEnd"/>
      <w:r w:rsidRPr="00B30983">
        <w:rPr>
          <w:rFonts w:ascii="Arial" w:hAnsi="Arial" w:cs="Arial"/>
          <w:b/>
          <w:bCs/>
          <w:lang w:val="en-US"/>
        </w:rPr>
        <w:t xml:space="preserve"> </w:t>
      </w:r>
      <w:proofErr w:type="spellStart"/>
      <w:r w:rsidRPr="00B30983">
        <w:rPr>
          <w:rFonts w:ascii="Arial" w:hAnsi="Arial" w:cs="Arial"/>
          <w:b/>
          <w:bCs/>
          <w:lang w:val="en-US"/>
        </w:rPr>
        <w:t>Lisnans</w:t>
      </w:r>
      <w:proofErr w:type="spellEnd"/>
      <w:r w:rsidRPr="00B30983">
        <w:rPr>
          <w:rFonts w:ascii="Arial" w:hAnsi="Arial" w:cs="Arial"/>
          <w:b/>
          <w:bCs/>
          <w:lang w:val="en-US"/>
        </w:rPr>
        <w:t xml:space="preserve"> Program Bilgi </w:t>
      </w:r>
      <w:proofErr w:type="spellStart"/>
      <w:r w:rsidRPr="00B30983">
        <w:rPr>
          <w:rFonts w:ascii="Arial" w:hAnsi="Arial" w:cs="Arial"/>
          <w:b/>
          <w:bCs/>
          <w:lang w:val="en-US"/>
        </w:rPr>
        <w:t>Paketi</w:t>
      </w:r>
      <w:proofErr w:type="spellEnd"/>
      <w:r w:rsidRPr="00B30983">
        <w:rPr>
          <w:rFonts w:ascii="Arial" w:hAnsi="Arial" w:cs="Arial"/>
          <w:b/>
          <w:bCs/>
          <w:lang w:val="en-US"/>
        </w:rPr>
        <w:t xml:space="preserve"> </w:t>
      </w:r>
      <w:proofErr w:type="spellStart"/>
      <w:r w:rsidRPr="00B30983">
        <w:rPr>
          <w:rFonts w:ascii="Arial" w:hAnsi="Arial" w:cs="Arial"/>
          <w:b/>
          <w:bCs/>
          <w:lang w:val="en-US"/>
        </w:rPr>
        <w:t>Tanıtım</w:t>
      </w:r>
      <w:proofErr w:type="spellEnd"/>
      <w:r w:rsidRPr="00B30983">
        <w:rPr>
          <w:rFonts w:ascii="Arial" w:hAnsi="Arial" w:cs="Arial"/>
          <w:b/>
          <w:bCs/>
          <w:lang w:val="en-US"/>
        </w:rPr>
        <w:t xml:space="preserve"> </w:t>
      </w:r>
      <w:proofErr w:type="spellStart"/>
      <w:r w:rsidRPr="00B30983">
        <w:rPr>
          <w:rFonts w:ascii="Arial" w:hAnsi="Arial" w:cs="Arial"/>
          <w:b/>
          <w:bCs/>
          <w:lang w:val="en-US"/>
        </w:rPr>
        <w:t>Sayfası-Bilimsel</w:t>
      </w:r>
      <w:proofErr w:type="spellEnd"/>
      <w:r w:rsidRPr="00B30983">
        <w:rPr>
          <w:rFonts w:ascii="Arial" w:hAnsi="Arial" w:cs="Arial"/>
          <w:b/>
          <w:bCs/>
          <w:lang w:val="en-US"/>
        </w:rPr>
        <w:t xml:space="preserve"> </w:t>
      </w:r>
      <w:proofErr w:type="spellStart"/>
      <w:r w:rsidRPr="00B30983">
        <w:rPr>
          <w:rFonts w:ascii="Arial" w:hAnsi="Arial" w:cs="Arial"/>
          <w:b/>
          <w:bCs/>
          <w:lang w:val="en-US"/>
        </w:rPr>
        <w:t>Hazırlık</w:t>
      </w:r>
      <w:proofErr w:type="spellEnd"/>
      <w:r w:rsidRPr="00B30983">
        <w:rPr>
          <w:rFonts w:ascii="Arial" w:hAnsi="Arial" w:cs="Arial"/>
          <w:b/>
          <w:bCs/>
          <w:lang w:val="en-US"/>
        </w:rPr>
        <w:t xml:space="preserve"> </w:t>
      </w:r>
      <w:proofErr w:type="spellStart"/>
      <w:r w:rsidRPr="00B30983">
        <w:rPr>
          <w:rFonts w:ascii="Arial" w:hAnsi="Arial" w:cs="Arial"/>
          <w:b/>
          <w:bCs/>
          <w:lang w:val="en-US"/>
        </w:rPr>
        <w:t>Programlı_</w:t>
      </w:r>
      <w:r>
        <w:rPr>
          <w:rFonts w:ascii="Arial" w:hAnsi="Arial" w:cs="Arial"/>
          <w:b/>
          <w:bCs/>
          <w:lang w:val="en-US"/>
        </w:rPr>
        <w:t>İngilizce</w:t>
      </w:r>
      <w:proofErr w:type="spellEnd"/>
    </w:p>
    <w:tbl>
      <w:tblPr>
        <w:tblW w:w="10774" w:type="dxa"/>
        <w:tblCellSpacing w:w="15"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774"/>
      </w:tblGrid>
      <w:tr w:rsidR="00A0345C" w:rsidRPr="0045592A" w14:paraId="4F2F7AB6" w14:textId="77777777" w:rsidTr="00DA4B73">
        <w:trPr>
          <w:trHeight w:val="150"/>
          <w:tblCellSpacing w:w="15" w:type="dxa"/>
        </w:trPr>
        <w:tc>
          <w:tcPr>
            <w:tcW w:w="10714" w:type="dxa"/>
            <w:vAlign w:val="center"/>
            <w:hideMark/>
          </w:tcPr>
          <w:p w14:paraId="3DE93106" w14:textId="69DD9431" w:rsidR="0042487E" w:rsidRPr="0045592A" w:rsidRDefault="00085272" w:rsidP="00763827">
            <w:pPr>
              <w:ind w:left="78" w:right="88"/>
              <w:rPr>
                <w:rFonts w:ascii="Arial" w:hAnsi="Arial" w:cs="Arial"/>
                <w:b/>
                <w:bCs/>
                <w:sz w:val="24"/>
                <w:szCs w:val="24"/>
                <w:lang w:val="en-US"/>
              </w:rPr>
            </w:pPr>
            <w:r w:rsidRPr="0045592A">
              <w:rPr>
                <w:rFonts w:ascii="Arial" w:hAnsi="Arial" w:cs="Arial"/>
                <w:b/>
                <w:bCs/>
                <w:sz w:val="28"/>
                <w:szCs w:val="28"/>
                <w:lang w:val="en-US"/>
              </w:rPr>
              <w:t>Establishment</w:t>
            </w:r>
            <w:r w:rsidR="009D6D69" w:rsidRPr="0045592A">
              <w:rPr>
                <w:rFonts w:ascii="Arial" w:hAnsi="Arial" w:cs="Arial"/>
                <w:b/>
                <w:bCs/>
                <w:sz w:val="28"/>
                <w:szCs w:val="28"/>
                <w:lang w:val="en-US"/>
              </w:rPr>
              <w:t xml:space="preserve"> </w:t>
            </w:r>
          </w:p>
          <w:p w14:paraId="03D0BA28" w14:textId="77777777" w:rsidR="0042487E" w:rsidRPr="0045592A" w:rsidRDefault="009D6D69" w:rsidP="00763827">
            <w:pPr>
              <w:ind w:left="78" w:right="88"/>
              <w:rPr>
                <w:rFonts w:ascii="Arial" w:hAnsi="Arial" w:cs="Arial"/>
                <w:color w:val="FF0000"/>
                <w:lang w:val="en-US"/>
              </w:rPr>
            </w:pPr>
            <w:proofErr w:type="spellStart"/>
            <w:r w:rsidRPr="0045592A">
              <w:rPr>
                <w:rFonts w:ascii="Arial" w:hAnsi="Arial" w:cs="Arial"/>
                <w:color w:val="FF0000"/>
                <w:lang w:val="en-US"/>
              </w:rPr>
              <w:t>Anabilim</w:t>
            </w:r>
            <w:proofErr w:type="spellEnd"/>
            <w:r w:rsidRPr="0045592A">
              <w:rPr>
                <w:rFonts w:ascii="Arial" w:hAnsi="Arial" w:cs="Arial"/>
                <w:color w:val="FF0000"/>
                <w:lang w:val="en-US"/>
              </w:rPr>
              <w:t xml:space="preserve"> </w:t>
            </w:r>
            <w:proofErr w:type="spellStart"/>
            <w:r w:rsidRPr="0045592A">
              <w:rPr>
                <w:rFonts w:ascii="Arial" w:hAnsi="Arial" w:cs="Arial"/>
                <w:color w:val="FF0000"/>
                <w:lang w:val="en-US"/>
              </w:rPr>
              <w:t>Dalı</w:t>
            </w:r>
            <w:proofErr w:type="spellEnd"/>
            <w:r w:rsidRPr="0045592A">
              <w:rPr>
                <w:rFonts w:ascii="Arial" w:hAnsi="Arial" w:cs="Arial"/>
                <w:color w:val="FF0000"/>
                <w:lang w:val="en-US"/>
              </w:rPr>
              <w:t xml:space="preserve"> </w:t>
            </w:r>
            <w:proofErr w:type="spellStart"/>
            <w:r w:rsidRPr="0045592A">
              <w:rPr>
                <w:rFonts w:ascii="Arial" w:hAnsi="Arial" w:cs="Arial"/>
                <w:color w:val="FF0000"/>
                <w:lang w:val="en-US"/>
              </w:rPr>
              <w:t>Tarafından</w:t>
            </w:r>
            <w:proofErr w:type="spellEnd"/>
            <w:r w:rsidRPr="0045592A">
              <w:rPr>
                <w:rFonts w:ascii="Arial" w:hAnsi="Arial" w:cs="Arial"/>
                <w:color w:val="FF0000"/>
                <w:lang w:val="en-US"/>
              </w:rPr>
              <w:t xml:space="preserve"> </w:t>
            </w:r>
            <w:proofErr w:type="spellStart"/>
            <w:r w:rsidRPr="0045592A">
              <w:rPr>
                <w:rFonts w:ascii="Arial" w:hAnsi="Arial" w:cs="Arial"/>
                <w:color w:val="FF0000"/>
                <w:lang w:val="en-US"/>
              </w:rPr>
              <w:t>Doldurulacak</w:t>
            </w:r>
            <w:proofErr w:type="spellEnd"/>
            <w:r w:rsidRPr="0045592A">
              <w:rPr>
                <w:rFonts w:ascii="Arial" w:hAnsi="Arial" w:cs="Arial"/>
                <w:color w:val="FF0000"/>
                <w:lang w:val="en-US"/>
              </w:rPr>
              <w:t xml:space="preserve">  </w:t>
            </w:r>
          </w:p>
          <w:p w14:paraId="360A9629" w14:textId="6467B24C" w:rsidR="00715952" w:rsidRPr="0045592A" w:rsidRDefault="009D6D69" w:rsidP="002F3774">
            <w:pPr>
              <w:ind w:left="78" w:right="88"/>
              <w:rPr>
                <w:rFonts w:ascii="Arial" w:hAnsi="Arial" w:cs="Arial"/>
                <w:color w:val="FF0000"/>
                <w:lang w:val="en-US"/>
              </w:rPr>
            </w:pPr>
            <w:r w:rsidRPr="0045592A">
              <w:rPr>
                <w:rFonts w:ascii="Arial" w:hAnsi="Arial" w:cs="Arial"/>
                <w:color w:val="FF0000"/>
                <w:lang w:val="en-US"/>
              </w:rPr>
              <w:t>“</w:t>
            </w:r>
            <w:proofErr w:type="spellStart"/>
            <w:r w:rsidRPr="0045592A">
              <w:rPr>
                <w:rFonts w:ascii="Arial" w:hAnsi="Arial" w:cs="Arial"/>
                <w:color w:val="FF0000"/>
                <w:lang w:val="en-US"/>
              </w:rPr>
              <w:t>Programın</w:t>
            </w:r>
            <w:proofErr w:type="spellEnd"/>
            <w:r w:rsidRPr="0045592A">
              <w:rPr>
                <w:rFonts w:ascii="Arial" w:hAnsi="Arial" w:cs="Arial"/>
                <w:color w:val="FF0000"/>
                <w:lang w:val="en-US"/>
              </w:rPr>
              <w:t xml:space="preserve"> </w:t>
            </w:r>
            <w:proofErr w:type="spellStart"/>
            <w:r w:rsidRPr="0045592A">
              <w:rPr>
                <w:rFonts w:ascii="Arial" w:hAnsi="Arial" w:cs="Arial"/>
                <w:color w:val="FF0000"/>
                <w:lang w:val="en-US"/>
              </w:rPr>
              <w:t>tarihçesi</w:t>
            </w:r>
            <w:proofErr w:type="spellEnd"/>
            <w:r w:rsidRPr="0045592A">
              <w:rPr>
                <w:rFonts w:ascii="Arial" w:hAnsi="Arial" w:cs="Arial"/>
                <w:color w:val="FF0000"/>
                <w:lang w:val="en-US"/>
              </w:rPr>
              <w:t xml:space="preserve"> </w:t>
            </w:r>
            <w:proofErr w:type="spellStart"/>
            <w:r w:rsidRPr="0045592A">
              <w:rPr>
                <w:rFonts w:ascii="Arial" w:hAnsi="Arial" w:cs="Arial"/>
                <w:color w:val="FF0000"/>
                <w:lang w:val="en-US"/>
              </w:rPr>
              <w:t>ve</w:t>
            </w:r>
            <w:proofErr w:type="spellEnd"/>
            <w:r w:rsidRPr="0045592A">
              <w:rPr>
                <w:rFonts w:ascii="Arial" w:hAnsi="Arial" w:cs="Arial"/>
                <w:color w:val="FF0000"/>
                <w:lang w:val="en-US"/>
              </w:rPr>
              <w:t xml:space="preserve"> alt </w:t>
            </w:r>
            <w:proofErr w:type="spellStart"/>
            <w:r w:rsidRPr="0045592A">
              <w:rPr>
                <w:rFonts w:ascii="Arial" w:hAnsi="Arial" w:cs="Arial"/>
                <w:color w:val="FF0000"/>
                <w:lang w:val="en-US"/>
              </w:rPr>
              <w:t>alanlarını</w:t>
            </w:r>
            <w:proofErr w:type="spellEnd"/>
            <w:r w:rsidRPr="0045592A">
              <w:rPr>
                <w:rFonts w:ascii="Arial" w:hAnsi="Arial" w:cs="Arial"/>
                <w:color w:val="FF0000"/>
                <w:lang w:val="en-US"/>
              </w:rPr>
              <w:t xml:space="preserve"> </w:t>
            </w:r>
            <w:proofErr w:type="spellStart"/>
            <w:r w:rsidRPr="0045592A">
              <w:rPr>
                <w:rFonts w:ascii="Arial" w:hAnsi="Arial" w:cs="Arial"/>
                <w:color w:val="FF0000"/>
                <w:lang w:val="en-US"/>
              </w:rPr>
              <w:t>içermeli</w:t>
            </w:r>
            <w:proofErr w:type="spellEnd"/>
            <w:r w:rsidRPr="0045592A">
              <w:rPr>
                <w:rFonts w:ascii="Arial" w:hAnsi="Arial" w:cs="Arial"/>
                <w:color w:val="FF0000"/>
                <w:lang w:val="en-US"/>
              </w:rPr>
              <w:t>”</w:t>
            </w:r>
          </w:p>
        </w:tc>
      </w:tr>
      <w:tr w:rsidR="00A0345C" w:rsidRPr="0045592A" w14:paraId="7DE7B6E4" w14:textId="77777777" w:rsidTr="00DA4B73">
        <w:trPr>
          <w:trHeight w:val="150"/>
          <w:tblCellSpacing w:w="15" w:type="dxa"/>
        </w:trPr>
        <w:tc>
          <w:tcPr>
            <w:tcW w:w="10714" w:type="dxa"/>
            <w:vAlign w:val="center"/>
          </w:tcPr>
          <w:p w14:paraId="49F78408" w14:textId="77777777" w:rsidR="00274258" w:rsidRPr="0045592A" w:rsidRDefault="009D6D69" w:rsidP="00274258">
            <w:pPr>
              <w:spacing w:after="120" w:line="240" w:lineRule="auto"/>
              <w:ind w:left="78" w:right="88"/>
              <w:rPr>
                <w:rFonts w:ascii="Arial" w:hAnsi="Arial" w:cs="Arial"/>
                <w:b/>
                <w:bCs/>
                <w:sz w:val="28"/>
                <w:szCs w:val="28"/>
                <w:lang w:val="en-US"/>
              </w:rPr>
            </w:pPr>
            <w:r w:rsidRPr="0045592A">
              <w:rPr>
                <w:rFonts w:ascii="Arial" w:hAnsi="Arial" w:cs="Arial"/>
                <w:b/>
                <w:bCs/>
                <w:sz w:val="28"/>
                <w:szCs w:val="28"/>
                <w:lang w:val="en-US"/>
              </w:rPr>
              <w:t>Objective of the Program</w:t>
            </w:r>
          </w:p>
          <w:p w14:paraId="247A2B9C" w14:textId="2A933C7A" w:rsidR="00D759E9" w:rsidRPr="0045592A" w:rsidRDefault="009D6D69" w:rsidP="00274258">
            <w:pPr>
              <w:ind w:left="78" w:right="88"/>
              <w:rPr>
                <w:rFonts w:ascii="Arial" w:hAnsi="Arial" w:cs="Arial"/>
                <w:b/>
                <w:bCs/>
                <w:sz w:val="24"/>
                <w:szCs w:val="24"/>
                <w:lang w:val="en-US"/>
              </w:rPr>
            </w:pPr>
            <w:proofErr w:type="spellStart"/>
            <w:r w:rsidRPr="0045592A">
              <w:rPr>
                <w:rFonts w:ascii="Arial" w:hAnsi="Arial" w:cs="Arial"/>
                <w:color w:val="FF0000"/>
                <w:lang w:val="en-US"/>
              </w:rPr>
              <w:t>Anabilim</w:t>
            </w:r>
            <w:proofErr w:type="spellEnd"/>
            <w:r w:rsidRPr="0045592A">
              <w:rPr>
                <w:rFonts w:ascii="Arial" w:hAnsi="Arial" w:cs="Arial"/>
                <w:color w:val="FF0000"/>
                <w:lang w:val="en-US"/>
              </w:rPr>
              <w:t xml:space="preserve"> </w:t>
            </w:r>
            <w:proofErr w:type="spellStart"/>
            <w:r w:rsidRPr="0045592A">
              <w:rPr>
                <w:rFonts w:ascii="Arial" w:hAnsi="Arial" w:cs="Arial"/>
                <w:color w:val="FF0000"/>
                <w:lang w:val="en-US"/>
              </w:rPr>
              <w:t>Dalı</w:t>
            </w:r>
            <w:proofErr w:type="spellEnd"/>
            <w:r w:rsidRPr="0045592A">
              <w:rPr>
                <w:rFonts w:ascii="Arial" w:hAnsi="Arial" w:cs="Arial"/>
                <w:color w:val="FF0000"/>
                <w:lang w:val="en-US"/>
              </w:rPr>
              <w:t xml:space="preserve"> </w:t>
            </w:r>
            <w:proofErr w:type="spellStart"/>
            <w:r w:rsidRPr="0045592A">
              <w:rPr>
                <w:rFonts w:ascii="Arial" w:hAnsi="Arial" w:cs="Arial"/>
                <w:color w:val="FF0000"/>
                <w:lang w:val="en-US"/>
              </w:rPr>
              <w:t>Tarafından</w:t>
            </w:r>
            <w:proofErr w:type="spellEnd"/>
            <w:r w:rsidRPr="0045592A">
              <w:rPr>
                <w:rFonts w:ascii="Arial" w:hAnsi="Arial" w:cs="Arial"/>
                <w:color w:val="FF0000"/>
                <w:lang w:val="en-US"/>
              </w:rPr>
              <w:t xml:space="preserve"> </w:t>
            </w:r>
            <w:proofErr w:type="spellStart"/>
            <w:r w:rsidRPr="0045592A">
              <w:rPr>
                <w:rFonts w:ascii="Arial" w:hAnsi="Arial" w:cs="Arial"/>
                <w:color w:val="FF0000"/>
                <w:lang w:val="en-US"/>
              </w:rPr>
              <w:t>Doldurulacak</w:t>
            </w:r>
            <w:proofErr w:type="spellEnd"/>
          </w:p>
        </w:tc>
      </w:tr>
      <w:tr w:rsidR="00A0345C" w:rsidRPr="0045592A" w14:paraId="43D7D0F6" w14:textId="77777777" w:rsidTr="00DA4B73">
        <w:trPr>
          <w:trHeight w:val="403"/>
          <w:tblCellSpacing w:w="15" w:type="dxa"/>
        </w:trPr>
        <w:tc>
          <w:tcPr>
            <w:tcW w:w="10714" w:type="dxa"/>
            <w:vAlign w:val="center"/>
            <w:hideMark/>
          </w:tcPr>
          <w:p w14:paraId="6B836D75" w14:textId="0D588EEE" w:rsidR="0042487E" w:rsidRPr="0045592A" w:rsidRDefault="009D6D69" w:rsidP="002E2506">
            <w:pPr>
              <w:spacing w:after="120" w:line="240" w:lineRule="auto"/>
              <w:ind w:left="78" w:right="88"/>
              <w:rPr>
                <w:rFonts w:ascii="Arial" w:hAnsi="Arial" w:cs="Arial"/>
                <w:b/>
                <w:bCs/>
                <w:sz w:val="28"/>
                <w:szCs w:val="28"/>
                <w:lang w:val="en-US"/>
              </w:rPr>
            </w:pPr>
            <w:r w:rsidRPr="0045592A">
              <w:rPr>
                <w:rFonts w:ascii="Arial" w:hAnsi="Arial" w:cs="Arial"/>
                <w:b/>
                <w:bCs/>
                <w:sz w:val="28"/>
                <w:szCs w:val="28"/>
                <w:lang w:val="en-US"/>
              </w:rPr>
              <w:t>Degree Earned</w:t>
            </w:r>
          </w:p>
          <w:p w14:paraId="2C0B1D70" w14:textId="4D08745B" w:rsidR="0042487E" w:rsidRPr="0045592A" w:rsidRDefault="009D6D69" w:rsidP="002E2506">
            <w:pPr>
              <w:spacing w:after="120" w:line="240" w:lineRule="auto"/>
              <w:ind w:left="78" w:right="88"/>
              <w:rPr>
                <w:rFonts w:ascii="Arial" w:hAnsi="Arial" w:cs="Arial"/>
                <w:b/>
                <w:bCs/>
                <w:lang w:val="en-US"/>
              </w:rPr>
            </w:pPr>
            <w:r w:rsidRPr="0045592A">
              <w:rPr>
                <w:rFonts w:ascii="Arial" w:hAnsi="Arial" w:cs="Arial"/>
                <w:lang w:val="en-US"/>
              </w:rPr>
              <w:t>Master</w:t>
            </w:r>
            <w:r w:rsidR="00085272" w:rsidRPr="0045592A">
              <w:rPr>
                <w:rFonts w:ascii="Arial" w:hAnsi="Arial" w:cs="Arial"/>
                <w:lang w:val="en-US"/>
              </w:rPr>
              <w:t>’</w:t>
            </w:r>
            <w:r w:rsidRPr="0045592A">
              <w:rPr>
                <w:rFonts w:ascii="Arial" w:hAnsi="Arial" w:cs="Arial"/>
                <w:lang w:val="en-US"/>
              </w:rPr>
              <w:t>s Degree</w:t>
            </w:r>
          </w:p>
          <w:p w14:paraId="417515F3" w14:textId="77777777" w:rsidR="0042487E" w:rsidRPr="0045592A" w:rsidRDefault="0042487E" w:rsidP="002E2506">
            <w:pPr>
              <w:spacing w:after="120" w:line="240" w:lineRule="auto"/>
              <w:ind w:left="78" w:right="88"/>
              <w:rPr>
                <w:rFonts w:ascii="Arial" w:hAnsi="Arial" w:cs="Arial"/>
                <w:lang w:val="en-US"/>
              </w:rPr>
            </w:pPr>
          </w:p>
        </w:tc>
      </w:tr>
      <w:tr w:rsidR="00A0345C" w:rsidRPr="0045592A" w14:paraId="603CFE6F" w14:textId="77777777" w:rsidTr="00DA4B73">
        <w:trPr>
          <w:trHeight w:val="150"/>
          <w:tblCellSpacing w:w="15" w:type="dxa"/>
        </w:trPr>
        <w:tc>
          <w:tcPr>
            <w:tcW w:w="10714" w:type="dxa"/>
            <w:vAlign w:val="center"/>
          </w:tcPr>
          <w:p w14:paraId="4978445C" w14:textId="71D9EE35" w:rsidR="0042487E" w:rsidRPr="0045592A" w:rsidRDefault="009D6D69" w:rsidP="002E2506">
            <w:pPr>
              <w:spacing w:after="120" w:line="240" w:lineRule="auto"/>
              <w:ind w:left="78" w:right="88"/>
              <w:rPr>
                <w:rFonts w:ascii="Arial" w:hAnsi="Arial" w:cs="Arial"/>
                <w:sz w:val="28"/>
                <w:szCs w:val="28"/>
                <w:shd w:val="clear" w:color="auto" w:fill="FFFFFF"/>
              </w:rPr>
            </w:pPr>
            <w:r w:rsidRPr="0045592A">
              <w:rPr>
                <w:rFonts w:ascii="Arial" w:hAnsi="Arial" w:cs="Arial"/>
                <w:b/>
                <w:bCs/>
                <w:color w:val="000000" w:themeColor="text1"/>
                <w:sz w:val="28"/>
                <w:szCs w:val="28"/>
              </w:rPr>
              <w:t xml:space="preserve">Level of </w:t>
            </w:r>
            <w:proofErr w:type="spellStart"/>
            <w:r w:rsidRPr="0045592A">
              <w:rPr>
                <w:rFonts w:ascii="Arial" w:hAnsi="Arial" w:cs="Arial"/>
                <w:b/>
                <w:bCs/>
                <w:color w:val="000000" w:themeColor="text1"/>
                <w:sz w:val="28"/>
                <w:szCs w:val="28"/>
              </w:rPr>
              <w:t>Degree</w:t>
            </w:r>
            <w:proofErr w:type="spellEnd"/>
          </w:p>
          <w:p w14:paraId="7F994448" w14:textId="77777777" w:rsidR="006121D8" w:rsidRPr="0045592A" w:rsidRDefault="006121D8" w:rsidP="006121D8">
            <w:pPr>
              <w:spacing w:after="0" w:line="240" w:lineRule="auto"/>
              <w:ind w:left="78" w:right="88"/>
              <w:rPr>
                <w:rFonts w:ascii="Arial" w:hAnsi="Arial" w:cs="Arial"/>
              </w:rPr>
            </w:pPr>
            <w:proofErr w:type="spellStart"/>
            <w:r w:rsidRPr="0045592A">
              <w:rPr>
                <w:rFonts w:ascii="Arial" w:hAnsi="Arial" w:cs="Arial"/>
              </w:rPr>
              <w:t>Qualifications</w:t>
            </w:r>
            <w:proofErr w:type="spellEnd"/>
            <w:r w:rsidRPr="0045592A">
              <w:rPr>
                <w:rFonts w:ascii="Arial" w:hAnsi="Arial" w:cs="Arial"/>
              </w:rPr>
              <w:t xml:space="preserve"> </w:t>
            </w:r>
            <w:proofErr w:type="spellStart"/>
            <w:r w:rsidRPr="0045592A">
              <w:rPr>
                <w:rFonts w:ascii="Arial" w:hAnsi="Arial" w:cs="Arial"/>
              </w:rPr>
              <w:t>Frameworks</w:t>
            </w:r>
            <w:proofErr w:type="spellEnd"/>
            <w:r w:rsidRPr="0045592A">
              <w:rPr>
                <w:rFonts w:ascii="Arial" w:hAnsi="Arial" w:cs="Arial"/>
              </w:rPr>
              <w:t xml:space="preserve"> in </w:t>
            </w:r>
            <w:proofErr w:type="spellStart"/>
            <w:r w:rsidRPr="0045592A">
              <w:rPr>
                <w:rFonts w:ascii="Arial" w:hAnsi="Arial" w:cs="Arial"/>
              </w:rPr>
              <w:t>the</w:t>
            </w:r>
            <w:proofErr w:type="spellEnd"/>
            <w:r w:rsidRPr="0045592A">
              <w:rPr>
                <w:rFonts w:ascii="Arial" w:hAnsi="Arial" w:cs="Arial"/>
              </w:rPr>
              <w:t xml:space="preserve"> </w:t>
            </w:r>
            <w:proofErr w:type="spellStart"/>
            <w:r w:rsidRPr="0045592A">
              <w:rPr>
                <w:rFonts w:ascii="Arial" w:hAnsi="Arial" w:cs="Arial"/>
              </w:rPr>
              <w:t>European</w:t>
            </w:r>
            <w:proofErr w:type="spellEnd"/>
            <w:r w:rsidRPr="0045592A">
              <w:rPr>
                <w:rFonts w:ascii="Arial" w:hAnsi="Arial" w:cs="Arial"/>
              </w:rPr>
              <w:t xml:space="preserve"> </w:t>
            </w:r>
            <w:proofErr w:type="spellStart"/>
            <w:r w:rsidRPr="0045592A">
              <w:rPr>
                <w:rFonts w:ascii="Arial" w:hAnsi="Arial" w:cs="Arial"/>
              </w:rPr>
              <w:t>Higher</w:t>
            </w:r>
            <w:proofErr w:type="spellEnd"/>
            <w:r w:rsidRPr="0045592A">
              <w:rPr>
                <w:rFonts w:ascii="Arial" w:hAnsi="Arial" w:cs="Arial"/>
              </w:rPr>
              <w:t xml:space="preserve"> </w:t>
            </w:r>
            <w:proofErr w:type="spellStart"/>
            <w:r w:rsidRPr="0045592A">
              <w:rPr>
                <w:rFonts w:ascii="Arial" w:hAnsi="Arial" w:cs="Arial"/>
              </w:rPr>
              <w:t>Education</w:t>
            </w:r>
            <w:proofErr w:type="spellEnd"/>
            <w:r w:rsidRPr="0045592A">
              <w:rPr>
                <w:rFonts w:ascii="Arial" w:hAnsi="Arial" w:cs="Arial"/>
              </w:rPr>
              <w:t xml:space="preserve"> </w:t>
            </w:r>
            <w:proofErr w:type="spellStart"/>
            <w:r w:rsidRPr="0045592A">
              <w:rPr>
                <w:rFonts w:ascii="Arial" w:hAnsi="Arial" w:cs="Arial"/>
              </w:rPr>
              <w:t>Area</w:t>
            </w:r>
            <w:proofErr w:type="spellEnd"/>
            <w:r w:rsidRPr="0045592A">
              <w:rPr>
                <w:rFonts w:ascii="Arial" w:hAnsi="Arial" w:cs="Arial"/>
              </w:rPr>
              <w:t xml:space="preserve"> (QF-EHEA), Level 2</w:t>
            </w:r>
          </w:p>
          <w:p w14:paraId="07E46680" w14:textId="6DC5A414" w:rsidR="00F35A75" w:rsidRPr="00B30983" w:rsidRDefault="006121D8" w:rsidP="00B30983">
            <w:pPr>
              <w:spacing w:after="120" w:line="240" w:lineRule="auto"/>
              <w:ind w:left="78" w:right="88"/>
              <w:rPr>
                <w:rFonts w:ascii="Arial" w:hAnsi="Arial" w:cs="Arial"/>
                <w:color w:val="FF0000"/>
                <w:lang w:val="en-US"/>
              </w:rPr>
            </w:pPr>
            <w:proofErr w:type="spellStart"/>
            <w:r w:rsidRPr="0045592A">
              <w:rPr>
                <w:rFonts w:ascii="Arial" w:hAnsi="Arial" w:cs="Arial"/>
                <w:shd w:val="clear" w:color="auto" w:fill="FFFFFF"/>
              </w:rPr>
              <w:t>European</w:t>
            </w:r>
            <w:proofErr w:type="spellEnd"/>
            <w:r w:rsidRPr="0045592A">
              <w:rPr>
                <w:rFonts w:ascii="Arial" w:hAnsi="Arial" w:cs="Arial"/>
                <w:shd w:val="clear" w:color="auto" w:fill="FFFFFF"/>
              </w:rPr>
              <w:t xml:space="preserve"> </w:t>
            </w:r>
            <w:proofErr w:type="spellStart"/>
            <w:r w:rsidRPr="0045592A">
              <w:rPr>
                <w:rFonts w:ascii="Arial" w:hAnsi="Arial" w:cs="Arial"/>
                <w:shd w:val="clear" w:color="auto" w:fill="FFFFFF"/>
              </w:rPr>
              <w:t>Qualifications</w:t>
            </w:r>
            <w:proofErr w:type="spellEnd"/>
            <w:r w:rsidRPr="0045592A">
              <w:rPr>
                <w:rFonts w:ascii="Arial" w:hAnsi="Arial" w:cs="Arial"/>
                <w:shd w:val="clear" w:color="auto" w:fill="FFFFFF"/>
              </w:rPr>
              <w:t xml:space="preserve"> Framework </w:t>
            </w:r>
            <w:proofErr w:type="spellStart"/>
            <w:r w:rsidRPr="0045592A">
              <w:rPr>
                <w:rFonts w:ascii="Arial" w:hAnsi="Arial" w:cs="Arial"/>
                <w:shd w:val="clear" w:color="auto" w:fill="FFFFFF"/>
              </w:rPr>
              <w:t>for</w:t>
            </w:r>
            <w:proofErr w:type="spellEnd"/>
            <w:r w:rsidRPr="0045592A">
              <w:rPr>
                <w:rFonts w:ascii="Arial" w:hAnsi="Arial" w:cs="Arial"/>
                <w:shd w:val="clear" w:color="auto" w:fill="FFFFFF"/>
              </w:rPr>
              <w:t xml:space="preserve"> </w:t>
            </w:r>
            <w:proofErr w:type="spellStart"/>
            <w:r w:rsidRPr="0045592A">
              <w:rPr>
                <w:rFonts w:ascii="Arial" w:hAnsi="Arial" w:cs="Arial"/>
                <w:shd w:val="clear" w:color="auto" w:fill="FFFFFF"/>
              </w:rPr>
              <w:t>Lifelong</w:t>
            </w:r>
            <w:proofErr w:type="spellEnd"/>
            <w:r w:rsidRPr="0045592A">
              <w:rPr>
                <w:rFonts w:ascii="Arial" w:hAnsi="Arial" w:cs="Arial"/>
                <w:shd w:val="clear" w:color="auto" w:fill="FFFFFF"/>
              </w:rPr>
              <w:t xml:space="preserve"> Learning</w:t>
            </w:r>
            <w:r w:rsidRPr="0045592A">
              <w:rPr>
                <w:rFonts w:ascii="Arial" w:hAnsi="Arial" w:cs="Arial"/>
              </w:rPr>
              <w:t xml:space="preserve"> (EQF-LLL),</w:t>
            </w:r>
            <w:r w:rsidRPr="0045592A">
              <w:rPr>
                <w:rFonts w:ascii="Arial" w:hAnsi="Arial" w:cs="Arial"/>
                <w:shd w:val="clear" w:color="auto" w:fill="FFFFFF"/>
              </w:rPr>
              <w:t xml:space="preserve"> Level </w:t>
            </w:r>
            <w:r w:rsidRPr="0045592A">
              <w:rPr>
                <w:rFonts w:ascii="Arial" w:hAnsi="Arial" w:cs="Arial"/>
              </w:rPr>
              <w:t>7</w:t>
            </w:r>
          </w:p>
        </w:tc>
      </w:tr>
      <w:tr w:rsidR="00A0345C" w:rsidRPr="0045592A" w14:paraId="526FB29E" w14:textId="77777777" w:rsidTr="00DA4B73">
        <w:trPr>
          <w:trHeight w:val="378"/>
          <w:tblCellSpacing w:w="15" w:type="dxa"/>
        </w:trPr>
        <w:tc>
          <w:tcPr>
            <w:tcW w:w="10714" w:type="dxa"/>
            <w:vAlign w:val="center"/>
          </w:tcPr>
          <w:p w14:paraId="1EF9E289" w14:textId="1A2BAB63" w:rsidR="0042487E" w:rsidRPr="0045592A" w:rsidRDefault="009D6D69" w:rsidP="002E2506">
            <w:pPr>
              <w:spacing w:after="120" w:line="240" w:lineRule="auto"/>
              <w:ind w:left="78" w:right="88"/>
              <w:rPr>
                <w:rFonts w:ascii="Arial" w:hAnsi="Arial" w:cs="Arial"/>
                <w:sz w:val="28"/>
                <w:szCs w:val="28"/>
                <w:lang w:val="en-US"/>
              </w:rPr>
            </w:pPr>
            <w:r w:rsidRPr="0045592A">
              <w:rPr>
                <w:rFonts w:ascii="Arial" w:hAnsi="Arial" w:cs="Arial"/>
                <w:b/>
                <w:bCs/>
                <w:sz w:val="28"/>
                <w:szCs w:val="28"/>
                <w:lang w:val="en-US"/>
              </w:rPr>
              <w:t>Type of Education</w:t>
            </w:r>
          </w:p>
          <w:p w14:paraId="73745F0F" w14:textId="6A775FD6" w:rsidR="0042487E" w:rsidRPr="0045592A" w:rsidRDefault="009D6D69" w:rsidP="002E2506">
            <w:pPr>
              <w:spacing w:after="120" w:line="240" w:lineRule="auto"/>
              <w:ind w:left="78" w:right="88"/>
              <w:rPr>
                <w:rFonts w:ascii="Arial" w:hAnsi="Arial" w:cs="Arial"/>
                <w:b/>
                <w:bCs/>
                <w:lang w:val="en-US"/>
              </w:rPr>
            </w:pPr>
            <w:r w:rsidRPr="0045592A">
              <w:rPr>
                <w:rFonts w:ascii="Arial" w:hAnsi="Arial" w:cs="Arial"/>
                <w:lang w:val="en-US"/>
              </w:rPr>
              <w:t>Full-Time Regular Education</w:t>
            </w:r>
          </w:p>
        </w:tc>
      </w:tr>
      <w:tr w:rsidR="00A0345C" w:rsidRPr="0045592A" w14:paraId="6507ABA3" w14:textId="77777777" w:rsidTr="00DA4B73">
        <w:trPr>
          <w:trHeight w:val="150"/>
          <w:tblCellSpacing w:w="15" w:type="dxa"/>
        </w:trPr>
        <w:tc>
          <w:tcPr>
            <w:tcW w:w="10714" w:type="dxa"/>
            <w:vAlign w:val="center"/>
            <w:hideMark/>
          </w:tcPr>
          <w:p w14:paraId="22242E18" w14:textId="77777777" w:rsidR="0042487E" w:rsidRPr="0045592A" w:rsidRDefault="009D6D69" w:rsidP="002E2506">
            <w:pPr>
              <w:spacing w:after="120" w:line="240" w:lineRule="auto"/>
              <w:ind w:left="78" w:right="88"/>
              <w:jc w:val="both"/>
              <w:rPr>
                <w:rFonts w:ascii="Arial" w:hAnsi="Arial" w:cs="Arial"/>
                <w:b/>
                <w:bCs/>
                <w:sz w:val="28"/>
                <w:szCs w:val="28"/>
                <w:lang w:val="en-US"/>
              </w:rPr>
            </w:pPr>
            <w:r w:rsidRPr="0045592A">
              <w:rPr>
                <w:rFonts w:ascii="Arial" w:hAnsi="Arial" w:cs="Arial"/>
                <w:b/>
                <w:bCs/>
                <w:sz w:val="28"/>
                <w:szCs w:val="28"/>
                <w:lang w:val="en-US"/>
              </w:rPr>
              <w:t>Admission and Registration Conditions</w:t>
            </w:r>
          </w:p>
          <w:p w14:paraId="4501E263" w14:textId="75CDBC3B" w:rsidR="00574F7D" w:rsidRPr="0045592A" w:rsidRDefault="00574F7D" w:rsidP="00574F7D">
            <w:pPr>
              <w:spacing w:after="120" w:line="240" w:lineRule="auto"/>
              <w:ind w:left="78" w:right="88"/>
              <w:jc w:val="both"/>
              <w:rPr>
                <w:rFonts w:ascii="Arial" w:hAnsi="Arial" w:cs="Arial"/>
                <w:bCs/>
                <w:lang w:val="en-US"/>
              </w:rPr>
            </w:pPr>
            <w:r w:rsidRPr="0045592A">
              <w:rPr>
                <w:rFonts w:ascii="Arial" w:hAnsi="Arial" w:cs="Arial"/>
                <w:bCs/>
                <w:lang w:val="en-US"/>
              </w:rPr>
              <w:t>To graduate from a department or faculty that meets the “</w:t>
            </w:r>
            <w:hyperlink r:id="rId7" w:history="1">
              <w:r w:rsidRPr="000F1E70">
                <w:rPr>
                  <w:rStyle w:val="Kpr"/>
                  <w:rFonts w:ascii="Arial" w:hAnsi="Arial" w:cs="Arial"/>
                  <w:b/>
                  <w:u w:val="none"/>
                  <w:lang w:val="en-US"/>
                </w:rPr>
                <w:t>Graduation Prerequisites for Application to Graduate Programs</w:t>
              </w:r>
            </w:hyperlink>
            <w:r w:rsidRPr="0045592A">
              <w:rPr>
                <w:rFonts w:ascii="Arial" w:hAnsi="Arial" w:cs="Arial"/>
                <w:bCs/>
                <w:lang w:val="en-US"/>
              </w:rPr>
              <w:t>” determined by the Health Sciences Institute Board and approved by the Karadeniz Technical University Senate.</w:t>
            </w:r>
          </w:p>
          <w:p w14:paraId="7456C468" w14:textId="0FDFD842" w:rsidR="00574F7D" w:rsidRPr="0045592A" w:rsidRDefault="00574F7D" w:rsidP="00574F7D">
            <w:pPr>
              <w:spacing w:after="120" w:line="240" w:lineRule="auto"/>
              <w:ind w:left="78" w:right="88"/>
              <w:jc w:val="both"/>
              <w:rPr>
                <w:rFonts w:ascii="Arial" w:hAnsi="Arial" w:cs="Arial"/>
                <w:bCs/>
                <w:lang w:val="en-US"/>
              </w:rPr>
            </w:pPr>
            <w:r w:rsidRPr="0045592A">
              <w:rPr>
                <w:rFonts w:ascii="Arial" w:hAnsi="Arial" w:cs="Arial"/>
                <w:bCs/>
                <w:lang w:val="en-US"/>
              </w:rPr>
              <w:t xml:space="preserve">Having ALES </w:t>
            </w:r>
            <w:r w:rsidR="00BD7992" w:rsidRPr="0045592A">
              <w:rPr>
                <w:rFonts w:ascii="Arial" w:hAnsi="Arial" w:cs="Arial"/>
                <w:bCs/>
                <w:lang w:val="en-US"/>
              </w:rPr>
              <w:t>(Quantitative/Equally Weighted)</w:t>
            </w:r>
            <w:r w:rsidRPr="0045592A">
              <w:rPr>
                <w:rFonts w:ascii="Arial" w:hAnsi="Arial" w:cs="Arial"/>
                <w:bCs/>
                <w:lang w:val="en-US"/>
              </w:rPr>
              <w:t xml:space="preserve"> and a Foreign Language base score determined by the Health Sciences Institute Board and approved by the KTU Senate (</w:t>
            </w:r>
            <w:hyperlink r:id="rId8" w:history="1">
              <w:r w:rsidRPr="000F1E70">
                <w:rPr>
                  <w:rStyle w:val="Kpr"/>
                  <w:rFonts w:ascii="Arial" w:hAnsi="Arial" w:cs="Arial"/>
                  <w:b/>
                  <w:u w:val="none"/>
                  <w:lang w:val="en-US"/>
                </w:rPr>
                <w:t>Application and Entry Requirements for the Graduate Programs of the KTU Health Sciences Institute</w:t>
              </w:r>
            </w:hyperlink>
            <w:r w:rsidRPr="0045592A">
              <w:rPr>
                <w:rFonts w:ascii="Arial" w:hAnsi="Arial" w:cs="Arial"/>
                <w:bCs/>
                <w:lang w:val="en-US"/>
              </w:rPr>
              <w:t>).</w:t>
            </w:r>
          </w:p>
          <w:p w14:paraId="68A6E0B7" w14:textId="2E2E1198" w:rsidR="0042487E" w:rsidRPr="0045592A" w:rsidRDefault="00574F7D" w:rsidP="0050325C">
            <w:pPr>
              <w:spacing w:after="120" w:line="240" w:lineRule="auto"/>
              <w:ind w:left="78" w:right="88"/>
              <w:jc w:val="both"/>
              <w:rPr>
                <w:rFonts w:ascii="Arial" w:hAnsi="Arial" w:cs="Arial"/>
                <w:bCs/>
                <w:lang w:val="en-US"/>
              </w:rPr>
            </w:pPr>
            <w:r w:rsidRPr="0045592A">
              <w:rPr>
                <w:rFonts w:ascii="Arial" w:hAnsi="Arial" w:cs="Arial"/>
                <w:color w:val="000000" w:themeColor="text1"/>
                <w:lang w:val="en-US"/>
              </w:rPr>
              <w:t xml:space="preserve">Students admitted to the program </w:t>
            </w:r>
            <w:hyperlink r:id="rId9" w:history="1">
              <w:r w:rsidRPr="000F1E70">
                <w:rPr>
                  <w:rStyle w:val="Kpr"/>
                  <w:rFonts w:ascii="Arial" w:hAnsi="Arial" w:cs="Arial"/>
                  <w:b/>
                  <w:bCs/>
                  <w:u w:val="none"/>
                  <w:lang w:val="en-US"/>
                </w:rPr>
                <w:t>from outside the field</w:t>
              </w:r>
            </w:hyperlink>
            <w:r w:rsidRPr="0045592A">
              <w:rPr>
                <w:rFonts w:ascii="Arial" w:hAnsi="Arial" w:cs="Arial"/>
                <w:color w:val="000000" w:themeColor="text1"/>
                <w:lang w:val="en-US"/>
              </w:rPr>
              <w:t xml:space="preserve"> are required to attend the Scientific Preparation Program and be successful in the </w:t>
            </w:r>
            <w:hyperlink r:id="rId10" w:history="1">
              <w:r w:rsidRPr="000F1E70">
                <w:rPr>
                  <w:rStyle w:val="Kpr"/>
                  <w:rFonts w:ascii="Arial" w:hAnsi="Arial" w:cs="Arial"/>
                  <w:b/>
                  <w:bCs/>
                  <w:u w:val="none"/>
                  <w:lang w:val="en-US"/>
                </w:rPr>
                <w:t>courses</w:t>
              </w:r>
            </w:hyperlink>
            <w:r w:rsidRPr="0045592A">
              <w:rPr>
                <w:rFonts w:ascii="Arial" w:hAnsi="Arial" w:cs="Arial"/>
                <w:color w:val="000000" w:themeColor="text1"/>
                <w:lang w:val="en-US"/>
              </w:rPr>
              <w:t xml:space="preserve"> determined based on their graduation status.</w:t>
            </w:r>
          </w:p>
        </w:tc>
      </w:tr>
      <w:tr w:rsidR="00A0345C" w:rsidRPr="0045592A" w14:paraId="4D9407FB" w14:textId="77777777" w:rsidTr="00DA4B73">
        <w:trPr>
          <w:trHeight w:val="150"/>
          <w:tblCellSpacing w:w="15" w:type="dxa"/>
        </w:trPr>
        <w:tc>
          <w:tcPr>
            <w:tcW w:w="10714" w:type="dxa"/>
            <w:vAlign w:val="center"/>
            <w:hideMark/>
          </w:tcPr>
          <w:p w14:paraId="72508047" w14:textId="605703DE" w:rsidR="0042487E" w:rsidRPr="0045592A" w:rsidRDefault="009D6D69" w:rsidP="002E2506">
            <w:pPr>
              <w:spacing w:after="120" w:line="240" w:lineRule="auto"/>
              <w:rPr>
                <w:rFonts w:ascii="Arial" w:hAnsi="Arial" w:cs="Arial"/>
                <w:color w:val="000000" w:themeColor="text1"/>
                <w:sz w:val="24"/>
                <w:szCs w:val="24"/>
                <w:lang w:val="en-US"/>
              </w:rPr>
            </w:pPr>
            <w:r w:rsidRPr="0045592A">
              <w:rPr>
                <w:rFonts w:ascii="Arial" w:eastAsia="Times New Roman" w:hAnsi="Arial" w:cs="Arial"/>
                <w:b/>
                <w:bCs/>
                <w:color w:val="000000" w:themeColor="text1"/>
                <w:sz w:val="28"/>
                <w:szCs w:val="28"/>
                <w:lang w:val="en-US" w:eastAsia="tr-TR"/>
              </w:rPr>
              <w:t>Recognition of Prior Learning</w:t>
            </w:r>
          </w:p>
          <w:p w14:paraId="5BC02206" w14:textId="6BEEDA55" w:rsidR="001E2E5D" w:rsidRPr="0045592A" w:rsidRDefault="009D6D69" w:rsidP="002E2506">
            <w:pPr>
              <w:spacing w:after="120" w:line="240" w:lineRule="auto"/>
              <w:ind w:left="76" w:right="149"/>
              <w:jc w:val="both"/>
              <w:rPr>
                <w:rFonts w:ascii="Arial" w:hAnsi="Arial" w:cs="Arial"/>
                <w:b/>
                <w:bCs/>
                <w:sz w:val="24"/>
                <w:szCs w:val="24"/>
                <w:lang w:val="en-US"/>
              </w:rPr>
            </w:pPr>
            <w:r w:rsidRPr="0045592A">
              <w:rPr>
                <w:rFonts w:ascii="Arial" w:hAnsi="Arial" w:cs="Arial"/>
                <w:b/>
                <w:bCs/>
                <w:sz w:val="24"/>
                <w:szCs w:val="24"/>
                <w:lang w:val="en-US"/>
              </w:rPr>
              <w:t>Lateral Transfer:</w:t>
            </w:r>
          </w:p>
          <w:p w14:paraId="644CDF08" w14:textId="12567B6F" w:rsidR="00E2608E" w:rsidRPr="0045592A" w:rsidRDefault="009D6D69" w:rsidP="002E2506">
            <w:pPr>
              <w:spacing w:after="120" w:line="240" w:lineRule="auto"/>
              <w:ind w:left="76" w:right="149"/>
              <w:jc w:val="both"/>
              <w:rPr>
                <w:rFonts w:ascii="Arial" w:hAnsi="Arial" w:cs="Arial"/>
                <w:sz w:val="24"/>
                <w:szCs w:val="24"/>
                <w:lang w:val="en-US"/>
              </w:rPr>
            </w:pPr>
            <w:r w:rsidRPr="0045592A">
              <w:rPr>
                <w:rFonts w:ascii="Arial" w:hAnsi="Arial" w:cs="Arial"/>
                <w:sz w:val="24"/>
                <w:szCs w:val="24"/>
                <w:lang w:val="en-US"/>
              </w:rPr>
              <w:t xml:space="preserve">The admission of students through lateral transfer is subject to the following provisions of Article 32 of </w:t>
            </w:r>
            <w:r w:rsidRPr="0045592A">
              <w:rPr>
                <w:rFonts w:ascii="Arial" w:hAnsi="Arial" w:cs="Arial"/>
                <w:color w:val="000000" w:themeColor="text1"/>
                <w:sz w:val="24"/>
                <w:szCs w:val="24"/>
                <w:lang w:val="en-US"/>
              </w:rPr>
              <w:t>KTU Regulations on Graduate Education</w:t>
            </w:r>
            <w:r w:rsidRPr="0045592A">
              <w:rPr>
                <w:rFonts w:ascii="Arial" w:hAnsi="Arial" w:cs="Arial"/>
                <w:sz w:val="24"/>
                <w:szCs w:val="24"/>
                <w:lang w:val="en-US"/>
              </w:rPr>
              <w:t>:</w:t>
            </w:r>
          </w:p>
          <w:p w14:paraId="2103C99A" w14:textId="1098435C" w:rsidR="0042487E" w:rsidRPr="0045592A" w:rsidRDefault="009D6D69" w:rsidP="002E2506">
            <w:pPr>
              <w:spacing w:after="120" w:line="240" w:lineRule="auto"/>
              <w:ind w:left="78" w:right="88"/>
              <w:jc w:val="both"/>
              <w:rPr>
                <w:rFonts w:ascii="Arial" w:hAnsi="Arial" w:cs="Arial"/>
                <w:color w:val="000000" w:themeColor="text1"/>
                <w:sz w:val="24"/>
                <w:szCs w:val="24"/>
                <w:lang w:val="en-US"/>
              </w:rPr>
            </w:pPr>
            <w:r w:rsidRPr="0045592A">
              <w:rPr>
                <w:rFonts w:ascii="Arial" w:hAnsi="Arial" w:cs="Arial"/>
                <w:color w:val="000000" w:themeColor="text1"/>
                <w:sz w:val="24"/>
                <w:szCs w:val="24"/>
                <w:lang w:val="en-US"/>
              </w:rPr>
              <w:t>(1) Successful students who have completed at least one semester in another graduate program within the university</w:t>
            </w:r>
            <w:r w:rsidR="008F4E02" w:rsidRPr="0045592A">
              <w:rPr>
                <w:rFonts w:ascii="Arial" w:hAnsi="Arial" w:cs="Arial"/>
                <w:color w:val="000000" w:themeColor="text1"/>
                <w:sz w:val="24"/>
                <w:szCs w:val="24"/>
                <w:lang w:val="en-US"/>
              </w:rPr>
              <w:t xml:space="preserve"> (KTU)</w:t>
            </w:r>
            <w:r w:rsidRPr="0045592A">
              <w:rPr>
                <w:rFonts w:ascii="Arial" w:hAnsi="Arial" w:cs="Arial"/>
                <w:color w:val="000000" w:themeColor="text1"/>
                <w:sz w:val="24"/>
                <w:szCs w:val="24"/>
                <w:lang w:val="en-US"/>
              </w:rPr>
              <w:t xml:space="preserve"> or in another higher education institution can be admitted to graduate programs through lateral transfer.</w:t>
            </w:r>
          </w:p>
          <w:p w14:paraId="2959D0D8" w14:textId="2250BCC0" w:rsidR="0042487E" w:rsidRPr="0045592A" w:rsidRDefault="009D6D69" w:rsidP="002E2506">
            <w:pPr>
              <w:spacing w:after="120" w:line="240" w:lineRule="auto"/>
              <w:ind w:left="78" w:right="88"/>
              <w:jc w:val="both"/>
              <w:rPr>
                <w:rFonts w:ascii="Arial" w:hAnsi="Arial" w:cs="Arial"/>
                <w:color w:val="000000" w:themeColor="text1"/>
                <w:sz w:val="24"/>
                <w:szCs w:val="24"/>
                <w:lang w:val="en-US"/>
              </w:rPr>
            </w:pPr>
            <w:r w:rsidRPr="0045592A">
              <w:rPr>
                <w:rFonts w:ascii="Arial" w:hAnsi="Arial" w:cs="Arial"/>
                <w:color w:val="000000" w:themeColor="text1"/>
                <w:sz w:val="24"/>
                <w:szCs w:val="24"/>
                <w:lang w:val="en-US"/>
              </w:rPr>
              <w:t xml:space="preserve">(2) </w:t>
            </w:r>
            <w:r w:rsidR="008F4E02" w:rsidRPr="0045592A">
              <w:rPr>
                <w:rFonts w:ascii="Arial" w:hAnsi="Arial" w:cs="Arial"/>
                <w:color w:val="000000" w:themeColor="text1"/>
                <w:sz w:val="24"/>
                <w:szCs w:val="24"/>
                <w:lang w:val="en-US"/>
              </w:rPr>
              <w:t>F</w:t>
            </w:r>
            <w:r w:rsidRPr="0045592A">
              <w:rPr>
                <w:rFonts w:ascii="Arial" w:hAnsi="Arial" w:cs="Arial"/>
                <w:color w:val="000000" w:themeColor="text1"/>
                <w:sz w:val="24"/>
                <w:szCs w:val="24"/>
                <w:lang w:val="en-US"/>
              </w:rPr>
              <w:t>or the applicant to be able to transfer, s/he is required to meet the minimum application requirements for the program subject to application. Transfers are only possible between equivalent programs.</w:t>
            </w:r>
          </w:p>
          <w:p w14:paraId="75ADB546" w14:textId="3E33A0A4" w:rsidR="0042487E" w:rsidRPr="0045592A" w:rsidRDefault="009D6D69" w:rsidP="002E2506">
            <w:pPr>
              <w:spacing w:after="120" w:line="240" w:lineRule="auto"/>
              <w:ind w:left="78" w:right="88"/>
              <w:jc w:val="both"/>
              <w:rPr>
                <w:rFonts w:ascii="Arial" w:hAnsi="Arial" w:cs="Arial"/>
                <w:color w:val="000000" w:themeColor="text1"/>
                <w:sz w:val="24"/>
                <w:szCs w:val="24"/>
                <w:lang w:val="en-US"/>
              </w:rPr>
            </w:pPr>
            <w:r w:rsidRPr="0045592A">
              <w:rPr>
                <w:rFonts w:ascii="Arial" w:hAnsi="Arial" w:cs="Arial"/>
                <w:color w:val="000000" w:themeColor="text1"/>
                <w:sz w:val="24"/>
                <w:szCs w:val="24"/>
                <w:lang w:val="en-US"/>
              </w:rPr>
              <w:t>(3) For students whose applications for lateral transfer from outside the university are accepted, the ECTS equivalence and course compatibility are decided by the Graduate School Board after receiving the opinion of the Office of Program Head. In master</w:t>
            </w:r>
            <w:r w:rsidR="00F33EAD" w:rsidRPr="0045592A">
              <w:rPr>
                <w:rFonts w:ascii="Arial" w:hAnsi="Arial" w:cs="Arial"/>
                <w:color w:val="000000" w:themeColor="text1"/>
                <w:sz w:val="24"/>
                <w:szCs w:val="24"/>
                <w:lang w:val="en-US"/>
              </w:rPr>
              <w:t>’</w:t>
            </w:r>
            <w:r w:rsidRPr="0045592A">
              <w:rPr>
                <w:rFonts w:ascii="Arial" w:hAnsi="Arial" w:cs="Arial"/>
                <w:color w:val="000000" w:themeColor="text1"/>
                <w:sz w:val="24"/>
                <w:szCs w:val="24"/>
                <w:lang w:val="en-US"/>
              </w:rPr>
              <w:t>s programs, lateral transfer is not accepted at the thesis stage</w:t>
            </w:r>
            <w:r w:rsidR="00541A22" w:rsidRPr="0045592A">
              <w:rPr>
                <w:rFonts w:ascii="Arial" w:hAnsi="Arial" w:cs="Arial"/>
                <w:color w:val="000000" w:themeColor="text1"/>
                <w:sz w:val="24"/>
                <w:szCs w:val="24"/>
                <w:lang w:val="en-US"/>
              </w:rPr>
              <w:t>…</w:t>
            </w:r>
          </w:p>
          <w:p w14:paraId="24103139" w14:textId="54B5F581" w:rsidR="0042487E" w:rsidRPr="0045592A" w:rsidRDefault="009D6D69" w:rsidP="002E2506">
            <w:pPr>
              <w:spacing w:after="120" w:line="240" w:lineRule="auto"/>
              <w:ind w:left="78" w:right="88"/>
              <w:jc w:val="both"/>
              <w:rPr>
                <w:rFonts w:ascii="Arial" w:hAnsi="Arial" w:cs="Arial"/>
                <w:color w:val="FF0000"/>
                <w:sz w:val="24"/>
                <w:szCs w:val="24"/>
                <w:lang w:val="en-US"/>
              </w:rPr>
            </w:pPr>
            <w:r w:rsidRPr="0045592A">
              <w:rPr>
                <w:rFonts w:ascii="Arial" w:hAnsi="Arial" w:cs="Arial"/>
                <w:color w:val="000000" w:themeColor="text1"/>
                <w:sz w:val="24"/>
                <w:szCs w:val="24"/>
                <w:lang w:val="en-US"/>
              </w:rPr>
              <w:t xml:space="preserve">(4) </w:t>
            </w:r>
            <w:r w:rsidR="00F33EAD" w:rsidRPr="0045592A">
              <w:rPr>
                <w:rFonts w:ascii="Arial" w:hAnsi="Arial" w:cs="Arial"/>
                <w:color w:val="000000" w:themeColor="text1"/>
                <w:sz w:val="24"/>
                <w:szCs w:val="24"/>
                <w:lang w:val="en-US"/>
              </w:rPr>
              <w:t>F</w:t>
            </w:r>
            <w:r w:rsidRPr="0045592A">
              <w:rPr>
                <w:rFonts w:ascii="Arial" w:hAnsi="Arial" w:cs="Arial"/>
                <w:color w:val="000000" w:themeColor="text1"/>
                <w:sz w:val="24"/>
                <w:szCs w:val="24"/>
                <w:lang w:val="en-US"/>
              </w:rPr>
              <w:t xml:space="preserve">or a student from outside the university to transfer, s/he is required to have a score of 60 in </w:t>
            </w:r>
            <w:r w:rsidRPr="0045592A">
              <w:rPr>
                <w:rFonts w:ascii="Arial" w:hAnsi="Arial" w:cs="Arial"/>
                <w:color w:val="000000" w:themeColor="text1"/>
                <w:sz w:val="24"/>
                <w:szCs w:val="24"/>
                <w:lang w:val="en-US"/>
              </w:rPr>
              <w:lastRenderedPageBreak/>
              <w:t>any of YÖKDİL, e-YDS, or YDS foreign language examinations or an equivalent score in the examinations accepted by ÖSYM (Student Selection and Placement Centre</w:t>
            </w:r>
            <w:r w:rsidRPr="0045592A">
              <w:rPr>
                <w:rFonts w:ascii="Arial" w:hAnsi="Arial" w:cs="Arial"/>
                <w:sz w:val="24"/>
                <w:szCs w:val="24"/>
                <w:lang w:val="en-US"/>
              </w:rPr>
              <w:t>).</w:t>
            </w:r>
          </w:p>
          <w:p w14:paraId="6E7549A3" w14:textId="453AF1E4" w:rsidR="0042487E" w:rsidRPr="0045592A" w:rsidRDefault="009D6D69" w:rsidP="002E2506">
            <w:pPr>
              <w:spacing w:after="120" w:line="240" w:lineRule="auto"/>
              <w:ind w:left="78" w:right="88"/>
              <w:rPr>
                <w:rFonts w:ascii="Arial" w:eastAsia="Times New Roman" w:hAnsi="Arial" w:cs="Arial"/>
                <w:b/>
                <w:bCs/>
                <w:color w:val="000000" w:themeColor="text1"/>
                <w:sz w:val="24"/>
                <w:szCs w:val="24"/>
                <w:lang w:val="en-US" w:eastAsia="tr-TR"/>
              </w:rPr>
            </w:pPr>
            <w:r w:rsidRPr="0045592A">
              <w:rPr>
                <w:rFonts w:ascii="Arial" w:eastAsia="Times New Roman" w:hAnsi="Arial" w:cs="Arial"/>
                <w:b/>
                <w:bCs/>
                <w:color w:val="000000" w:themeColor="text1"/>
                <w:sz w:val="24"/>
                <w:szCs w:val="24"/>
                <w:lang w:val="en-US" w:eastAsia="tr-TR"/>
              </w:rPr>
              <w:t>Course Substitution:</w:t>
            </w:r>
          </w:p>
          <w:p w14:paraId="4A9F65EF" w14:textId="709BEF9D" w:rsidR="00360A24" w:rsidRPr="0045592A" w:rsidRDefault="009D6D69" w:rsidP="002E2506">
            <w:pPr>
              <w:spacing w:after="120" w:line="240" w:lineRule="auto"/>
              <w:ind w:left="76" w:right="149"/>
              <w:jc w:val="both"/>
              <w:rPr>
                <w:rFonts w:ascii="Arial" w:hAnsi="Arial" w:cs="Arial"/>
                <w:b/>
                <w:bCs/>
                <w:sz w:val="24"/>
                <w:szCs w:val="24"/>
                <w:lang w:val="en-US"/>
              </w:rPr>
            </w:pPr>
            <w:r w:rsidRPr="0045592A">
              <w:rPr>
                <w:rFonts w:ascii="Arial" w:hAnsi="Arial" w:cs="Arial"/>
                <w:color w:val="000000" w:themeColor="text1"/>
                <w:sz w:val="24"/>
                <w:szCs w:val="24"/>
                <w:lang w:val="en-US"/>
              </w:rPr>
              <w:t xml:space="preserve">Course substitutions are subject to the following provision A-4 of </w:t>
            </w:r>
            <w:r w:rsidR="00A25463" w:rsidRPr="0045592A">
              <w:rPr>
                <w:rFonts w:ascii="Arial" w:hAnsi="Arial" w:cs="Arial"/>
                <w:color w:val="000000" w:themeColor="text1"/>
                <w:sz w:val="24"/>
                <w:szCs w:val="24"/>
                <w:lang w:val="en-US"/>
              </w:rPr>
              <w:t>t</w:t>
            </w:r>
            <w:r w:rsidRPr="0045592A">
              <w:rPr>
                <w:rFonts w:ascii="Arial" w:hAnsi="Arial" w:cs="Arial"/>
                <w:color w:val="000000" w:themeColor="text1"/>
                <w:sz w:val="24"/>
                <w:szCs w:val="24"/>
                <w:lang w:val="en-US"/>
              </w:rPr>
              <w:t>he Senate’s Principles for the Implementation of Graduate Studies at KTU dated 03.11.2017 and numbered 284:</w:t>
            </w:r>
          </w:p>
          <w:p w14:paraId="4F804451" w14:textId="2527DDA6" w:rsidR="00F54A59" w:rsidRPr="0045592A" w:rsidRDefault="009D6D69" w:rsidP="00F54A59">
            <w:pPr>
              <w:spacing w:after="0" w:line="240" w:lineRule="auto"/>
              <w:ind w:left="79" w:right="91"/>
              <w:jc w:val="both"/>
              <w:rPr>
                <w:rFonts w:ascii="Arial" w:hAnsi="Arial" w:cs="Arial"/>
                <w:color w:val="000000" w:themeColor="text1"/>
                <w:sz w:val="24"/>
                <w:szCs w:val="24"/>
                <w:shd w:val="clear" w:color="auto" w:fill="FFFFFF"/>
                <w:lang w:val="en-US"/>
              </w:rPr>
            </w:pPr>
            <w:r w:rsidRPr="0045592A">
              <w:rPr>
                <w:rFonts w:ascii="Arial" w:hAnsi="Arial" w:cs="Arial"/>
                <w:color w:val="000000" w:themeColor="text1"/>
                <w:sz w:val="24"/>
                <w:szCs w:val="24"/>
                <w:shd w:val="clear" w:color="auto" w:fill="FFFFFF"/>
                <w:lang w:val="en-US"/>
              </w:rPr>
              <w:t>A student whose registration in a graduate program at KTU is canceled due to failure or other reasons cannot apply to the same program again. However, s/he can apply to another graduate program at KTU. In such a case, the student can substitute at most two previous courses (6 credits)</w:t>
            </w:r>
            <w:r w:rsidR="00E51CCF" w:rsidRPr="0045592A">
              <w:rPr>
                <w:rFonts w:ascii="Arial" w:hAnsi="Arial" w:cs="Arial"/>
                <w:color w:val="000000" w:themeColor="text1"/>
                <w:sz w:val="24"/>
                <w:szCs w:val="24"/>
                <w:shd w:val="clear" w:color="auto" w:fill="FFFFFF"/>
                <w:lang w:val="en-US"/>
              </w:rPr>
              <w:t xml:space="preserve"> which s/he successfully completed</w:t>
            </w:r>
            <w:r w:rsidRPr="0045592A">
              <w:rPr>
                <w:rFonts w:ascii="Arial" w:hAnsi="Arial" w:cs="Arial"/>
                <w:color w:val="000000" w:themeColor="text1"/>
                <w:sz w:val="24"/>
                <w:szCs w:val="24"/>
                <w:shd w:val="clear" w:color="auto" w:fill="FFFFFF"/>
                <w:lang w:val="en-US"/>
              </w:rPr>
              <w:t xml:space="preserve"> on condition that the relevant program approves it. A student who enrolls in KTU after his/her registration in another university is canceled can make a request to have course substitution for at most two of the courses successfully completed in the relevant program.</w:t>
            </w:r>
          </w:p>
          <w:p w14:paraId="2496F079" w14:textId="7271F9C9" w:rsidR="0042487E" w:rsidRPr="0045592A" w:rsidRDefault="0042487E" w:rsidP="002E2506">
            <w:pPr>
              <w:spacing w:after="120" w:line="240" w:lineRule="auto"/>
              <w:ind w:right="88"/>
              <w:jc w:val="both"/>
              <w:rPr>
                <w:rFonts w:ascii="Arial" w:hAnsi="Arial" w:cs="Arial"/>
                <w:strike/>
                <w:lang w:val="en-US"/>
              </w:rPr>
            </w:pPr>
          </w:p>
        </w:tc>
      </w:tr>
      <w:tr w:rsidR="00A0345C" w:rsidRPr="0045592A" w14:paraId="1CEFB5AA" w14:textId="77777777" w:rsidTr="00DA4B73">
        <w:trPr>
          <w:trHeight w:val="150"/>
          <w:tblCellSpacing w:w="15" w:type="dxa"/>
        </w:trPr>
        <w:tc>
          <w:tcPr>
            <w:tcW w:w="10714" w:type="dxa"/>
            <w:vAlign w:val="center"/>
            <w:hideMark/>
          </w:tcPr>
          <w:p w14:paraId="43030099" w14:textId="1F860CF4" w:rsidR="0042487E" w:rsidRPr="0045592A" w:rsidRDefault="009D6D69" w:rsidP="002E2506">
            <w:pPr>
              <w:spacing w:after="120" w:line="240" w:lineRule="auto"/>
              <w:ind w:left="78" w:right="88"/>
              <w:rPr>
                <w:rFonts w:ascii="Arial" w:hAnsi="Arial" w:cs="Arial"/>
                <w:b/>
                <w:bCs/>
                <w:sz w:val="28"/>
                <w:szCs w:val="28"/>
                <w:lang w:val="en-US"/>
              </w:rPr>
            </w:pPr>
            <w:r w:rsidRPr="0045592A">
              <w:rPr>
                <w:rFonts w:ascii="Arial" w:hAnsi="Arial" w:cs="Arial"/>
                <w:b/>
                <w:bCs/>
                <w:sz w:val="28"/>
                <w:szCs w:val="28"/>
                <w:lang w:val="en-US"/>
              </w:rPr>
              <w:lastRenderedPageBreak/>
              <w:t>Requirements and Rules for the Degree to Be Earned</w:t>
            </w:r>
          </w:p>
          <w:p w14:paraId="653AD44F" w14:textId="72E5B57F" w:rsidR="000F7435" w:rsidRPr="0045592A" w:rsidRDefault="009D6D69" w:rsidP="00B30F90">
            <w:pPr>
              <w:pStyle w:val="ListeParagraf"/>
              <w:numPr>
                <w:ilvl w:val="0"/>
                <w:numId w:val="3"/>
              </w:numPr>
              <w:spacing w:after="120" w:line="240" w:lineRule="auto"/>
              <w:ind w:left="78" w:right="88" w:hanging="246"/>
              <w:contextualSpacing w:val="0"/>
              <w:jc w:val="both"/>
              <w:rPr>
                <w:rFonts w:ascii="Arial" w:hAnsi="Arial" w:cs="Arial"/>
                <w:color w:val="000000" w:themeColor="text1"/>
                <w:lang w:val="en-US"/>
              </w:rPr>
            </w:pPr>
            <w:r w:rsidRPr="0045592A">
              <w:rPr>
                <w:rFonts w:ascii="Arial" w:hAnsi="Arial" w:cs="Arial"/>
                <w:lang w:val="en-US"/>
              </w:rPr>
              <w:t xml:space="preserve">The </w:t>
            </w:r>
            <w:r w:rsidR="004A6612" w:rsidRPr="0045592A">
              <w:rPr>
                <w:rFonts w:ascii="Arial" w:hAnsi="Arial" w:cs="Arial"/>
                <w:lang w:val="en-US"/>
              </w:rPr>
              <w:t>study</w:t>
            </w:r>
            <w:r w:rsidRPr="0045592A">
              <w:rPr>
                <w:rFonts w:ascii="Arial" w:hAnsi="Arial" w:cs="Arial"/>
                <w:lang w:val="en-US"/>
              </w:rPr>
              <w:t xml:space="preserve"> period of the program is four semesters and can be extended to a maximum of six semesters. By the end of the fourth semester</w:t>
            </w:r>
            <w:r w:rsidR="009C7F4F" w:rsidRPr="0045592A">
              <w:rPr>
                <w:rFonts w:ascii="Arial" w:hAnsi="Arial" w:cs="Arial"/>
                <w:lang w:val="en-US"/>
              </w:rPr>
              <w:t xml:space="preserve"> at the latest</w:t>
            </w:r>
            <w:r w:rsidRPr="0045592A">
              <w:rPr>
                <w:rFonts w:ascii="Arial" w:hAnsi="Arial" w:cs="Arial"/>
                <w:lang w:val="en-US"/>
              </w:rPr>
              <w:t xml:space="preserve">, the student must </w:t>
            </w:r>
            <w:r w:rsidR="001E7D9D" w:rsidRPr="0045592A">
              <w:rPr>
                <w:rFonts w:ascii="Arial" w:hAnsi="Arial" w:cs="Arial"/>
                <w:lang w:val="en-US"/>
              </w:rPr>
              <w:t xml:space="preserve">have </w:t>
            </w:r>
            <w:r w:rsidRPr="0045592A">
              <w:rPr>
                <w:rFonts w:ascii="Arial" w:hAnsi="Arial" w:cs="Arial"/>
                <w:lang w:val="en-US"/>
              </w:rPr>
              <w:t>successfully complete</w:t>
            </w:r>
            <w:r w:rsidR="001E7D9D" w:rsidRPr="0045592A">
              <w:rPr>
                <w:rFonts w:ascii="Arial" w:hAnsi="Arial" w:cs="Arial"/>
                <w:lang w:val="en-US"/>
              </w:rPr>
              <w:t>d</w:t>
            </w:r>
            <w:r w:rsidRPr="0045592A">
              <w:rPr>
                <w:rFonts w:ascii="Arial" w:hAnsi="Arial" w:cs="Arial"/>
                <w:lang w:val="en-US"/>
              </w:rPr>
              <w:t xml:space="preserve"> minimum </w:t>
            </w:r>
            <w:r w:rsidR="00B80CC9" w:rsidRPr="0045592A">
              <w:rPr>
                <w:rFonts w:ascii="Arial" w:hAnsi="Arial" w:cs="Arial"/>
                <w:lang w:val="en-US"/>
              </w:rPr>
              <w:t>seven</w:t>
            </w:r>
            <w:r w:rsidRPr="0045592A">
              <w:rPr>
                <w:rFonts w:ascii="Arial" w:hAnsi="Arial" w:cs="Arial"/>
                <w:lang w:val="en-US"/>
              </w:rPr>
              <w:t xml:space="preserve"> courses stated in the curriculum including compulsory and elective courses, one of which must be</w:t>
            </w:r>
            <w:r w:rsidR="001E7D9D" w:rsidRPr="0045592A">
              <w:rPr>
                <w:rFonts w:ascii="Arial" w:hAnsi="Arial" w:cs="Arial"/>
                <w:lang w:val="en-US"/>
              </w:rPr>
              <w:t xml:space="preserve"> in</w:t>
            </w:r>
            <w:r w:rsidRPr="0045592A">
              <w:rPr>
                <w:rFonts w:ascii="Arial" w:hAnsi="Arial" w:cs="Arial"/>
                <w:lang w:val="en-US"/>
              </w:rPr>
              <w:t xml:space="preserve"> English, corresponding to at least </w:t>
            </w:r>
            <w:r w:rsidR="00AD6D4B" w:rsidRPr="0045592A">
              <w:rPr>
                <w:rFonts w:ascii="Arial" w:hAnsi="Arial" w:cs="Arial"/>
                <w:lang w:val="en-US"/>
              </w:rPr>
              <w:t xml:space="preserve">21 </w:t>
            </w:r>
            <w:r w:rsidRPr="0045592A">
              <w:rPr>
                <w:rFonts w:ascii="Arial" w:hAnsi="Arial" w:cs="Arial"/>
                <w:lang w:val="en-US"/>
              </w:rPr>
              <w:t xml:space="preserve">credits (120 ECTS credits) in total as well as the </w:t>
            </w:r>
            <w:r w:rsidR="00F83CAC" w:rsidRPr="0045592A">
              <w:rPr>
                <w:rFonts w:ascii="Arial" w:hAnsi="Arial" w:cs="Arial"/>
                <w:lang w:val="en-US"/>
              </w:rPr>
              <w:t>“</w:t>
            </w:r>
            <w:r w:rsidRPr="0045592A">
              <w:rPr>
                <w:rFonts w:ascii="Arial" w:hAnsi="Arial" w:cs="Arial"/>
                <w:lang w:val="en-US"/>
              </w:rPr>
              <w:t>Seminar</w:t>
            </w:r>
            <w:r w:rsidR="00F83CAC" w:rsidRPr="0045592A">
              <w:rPr>
                <w:rFonts w:ascii="Arial" w:hAnsi="Arial" w:cs="Arial"/>
                <w:lang w:val="en-US"/>
              </w:rPr>
              <w:t>”</w:t>
            </w:r>
            <w:r w:rsidRPr="0045592A">
              <w:rPr>
                <w:rFonts w:ascii="Arial" w:hAnsi="Arial" w:cs="Arial"/>
                <w:lang w:val="en-US"/>
              </w:rPr>
              <w:t xml:space="preserve"> course and the </w:t>
            </w:r>
            <w:r w:rsidR="00F83CAC" w:rsidRPr="0045592A">
              <w:rPr>
                <w:rFonts w:ascii="Arial" w:hAnsi="Arial" w:cs="Arial"/>
                <w:lang w:val="en-US"/>
              </w:rPr>
              <w:t>“</w:t>
            </w:r>
            <w:r w:rsidRPr="0045592A">
              <w:rPr>
                <w:rFonts w:ascii="Arial" w:hAnsi="Arial" w:cs="Arial"/>
                <w:lang w:val="en-US"/>
              </w:rPr>
              <w:t>Scientific Research and Publication Ethics</w:t>
            </w:r>
            <w:r w:rsidR="00F83CAC" w:rsidRPr="0045592A">
              <w:rPr>
                <w:rFonts w:ascii="Arial" w:hAnsi="Arial" w:cs="Arial"/>
                <w:lang w:val="en-US"/>
              </w:rPr>
              <w:t>”</w:t>
            </w:r>
            <w:r w:rsidRPr="0045592A">
              <w:rPr>
                <w:rFonts w:ascii="Arial" w:hAnsi="Arial" w:cs="Arial"/>
                <w:lang w:val="en-US"/>
              </w:rPr>
              <w:t xml:space="preserve"> course (non-credit). Also, at the end of the sixth semester at the latest, the thesis study must be completed, and the student must be accepted successful in the thesis defense examination (</w:t>
            </w:r>
            <w:r w:rsidR="00BA2D1C" w:rsidRPr="0045592A">
              <w:rPr>
                <w:rFonts w:ascii="Arial" w:hAnsi="Arial" w:cs="Arial"/>
                <w:b/>
                <w:bCs/>
                <w:color w:val="0070C0"/>
                <w:lang w:val="en-US"/>
              </w:rPr>
              <w:t>see KTU Regulations on Graduate Education</w:t>
            </w:r>
            <w:r w:rsidR="0042487E" w:rsidRPr="0045592A">
              <w:rPr>
                <w:rFonts w:ascii="Arial" w:hAnsi="Arial" w:cs="Arial"/>
                <w:color w:val="000000" w:themeColor="text1"/>
                <w:lang w:val="en-US"/>
              </w:rPr>
              <w:t>).</w:t>
            </w:r>
          </w:p>
        </w:tc>
      </w:tr>
      <w:tr w:rsidR="00A0345C" w:rsidRPr="0045592A" w14:paraId="3BD50C0A" w14:textId="77777777" w:rsidTr="00DA4B73">
        <w:trPr>
          <w:trHeight w:val="150"/>
          <w:tblCellSpacing w:w="15" w:type="dxa"/>
        </w:trPr>
        <w:tc>
          <w:tcPr>
            <w:tcW w:w="10714" w:type="dxa"/>
            <w:vAlign w:val="center"/>
            <w:hideMark/>
          </w:tcPr>
          <w:p w14:paraId="5B56D7E5" w14:textId="300A8B12" w:rsidR="0042487E" w:rsidRPr="0045592A" w:rsidRDefault="009D6D69" w:rsidP="002E2506">
            <w:pPr>
              <w:spacing w:after="120" w:line="240" w:lineRule="auto"/>
              <w:ind w:left="78" w:right="88"/>
              <w:rPr>
                <w:rFonts w:ascii="Arial" w:hAnsi="Arial" w:cs="Arial"/>
                <w:b/>
                <w:bCs/>
                <w:sz w:val="28"/>
                <w:szCs w:val="28"/>
                <w:lang w:val="en-US"/>
              </w:rPr>
            </w:pPr>
            <w:r w:rsidRPr="0045592A">
              <w:rPr>
                <w:rFonts w:ascii="Arial" w:hAnsi="Arial" w:cs="Arial"/>
                <w:b/>
                <w:bCs/>
                <w:sz w:val="28"/>
                <w:szCs w:val="28"/>
                <w:lang w:val="en-US"/>
              </w:rPr>
              <w:t>Exams, Assessment and Evaluation</w:t>
            </w:r>
          </w:p>
          <w:p w14:paraId="2DA55C5C" w14:textId="58F79B67" w:rsidR="0042487E" w:rsidRPr="0045592A" w:rsidRDefault="009D6D69" w:rsidP="002E2506">
            <w:pPr>
              <w:spacing w:after="120" w:line="240" w:lineRule="auto"/>
              <w:ind w:left="78" w:right="88"/>
              <w:jc w:val="both"/>
              <w:rPr>
                <w:rFonts w:ascii="Arial" w:hAnsi="Arial" w:cs="Arial"/>
                <w:lang w:val="en-US"/>
              </w:rPr>
            </w:pPr>
            <w:r w:rsidRPr="0045592A">
              <w:rPr>
                <w:rFonts w:ascii="Arial" w:hAnsi="Arial" w:cs="Arial"/>
                <w:lang w:val="en-US"/>
              </w:rPr>
              <w:t xml:space="preserve">Students are subjected to a midterm exam, term study (project, seminar, quiz, assignment, or a second midterm exam), and final exam for each course. The share of the midterm exam in the final grade of the course is 30%, that of the term study is 20%, and that of the final exam is 50%. All exams are graded out of 100 points. </w:t>
            </w:r>
            <w:r w:rsidR="00F83CAC" w:rsidRPr="0045592A">
              <w:rPr>
                <w:rFonts w:ascii="Arial" w:hAnsi="Arial" w:cs="Arial"/>
                <w:lang w:val="en-US"/>
              </w:rPr>
              <w:t>F</w:t>
            </w:r>
            <w:r w:rsidRPr="0045592A">
              <w:rPr>
                <w:rFonts w:ascii="Arial" w:hAnsi="Arial" w:cs="Arial"/>
                <w:lang w:val="en-US"/>
              </w:rPr>
              <w:t>or a student to be considered successful in a course, s/he must get at least a letter grade of “CC” as the end-of-semester grade in that course.</w:t>
            </w:r>
          </w:p>
        </w:tc>
      </w:tr>
      <w:tr w:rsidR="00A0345C" w:rsidRPr="0045592A" w14:paraId="1FAA6758" w14:textId="77777777" w:rsidTr="00DA4B73">
        <w:trPr>
          <w:trHeight w:val="150"/>
          <w:tblCellSpacing w:w="15" w:type="dxa"/>
        </w:trPr>
        <w:tc>
          <w:tcPr>
            <w:tcW w:w="10714" w:type="dxa"/>
            <w:vAlign w:val="center"/>
          </w:tcPr>
          <w:p w14:paraId="773BB492" w14:textId="59F1E5D2" w:rsidR="0042487E" w:rsidRPr="0045592A" w:rsidRDefault="009D6D69" w:rsidP="002E2506">
            <w:pPr>
              <w:spacing w:after="120" w:line="240" w:lineRule="auto"/>
              <w:ind w:left="78" w:right="88"/>
              <w:rPr>
                <w:rFonts w:ascii="Arial" w:hAnsi="Arial" w:cs="Arial"/>
                <w:sz w:val="28"/>
                <w:szCs w:val="28"/>
                <w:lang w:val="en-US"/>
              </w:rPr>
            </w:pPr>
            <w:r w:rsidRPr="0045592A">
              <w:rPr>
                <w:rFonts w:ascii="Arial" w:hAnsi="Arial" w:cs="Arial"/>
                <w:b/>
                <w:bCs/>
                <w:sz w:val="28"/>
                <w:szCs w:val="28"/>
                <w:lang w:val="en-US"/>
              </w:rPr>
              <w:t>Graduation Requirements</w:t>
            </w:r>
          </w:p>
          <w:p w14:paraId="73C20D96" w14:textId="744DBCB5" w:rsidR="00256FDB" w:rsidRPr="0045592A" w:rsidRDefault="009D6D69" w:rsidP="002E2506">
            <w:pPr>
              <w:spacing w:after="120" w:line="240" w:lineRule="auto"/>
              <w:ind w:right="149"/>
              <w:jc w:val="both"/>
              <w:rPr>
                <w:rFonts w:ascii="Arial" w:hAnsi="Arial" w:cs="Arial"/>
                <w:lang w:val="en-US"/>
              </w:rPr>
            </w:pPr>
            <w:r w:rsidRPr="0045592A">
              <w:rPr>
                <w:rFonts w:ascii="Arial" w:hAnsi="Arial" w:cs="Arial"/>
                <w:lang w:val="en-US"/>
              </w:rPr>
              <w:t xml:space="preserve">To graduate from the master’s </w:t>
            </w:r>
            <w:r w:rsidR="00D11BC7" w:rsidRPr="0045592A">
              <w:rPr>
                <w:rFonts w:ascii="Arial" w:hAnsi="Arial" w:cs="Arial"/>
                <w:lang w:val="en-US"/>
              </w:rPr>
              <w:t xml:space="preserve">degree </w:t>
            </w:r>
            <w:r w:rsidRPr="0045592A">
              <w:rPr>
                <w:rFonts w:ascii="Arial" w:hAnsi="Arial" w:cs="Arial"/>
                <w:lang w:val="en-US"/>
              </w:rPr>
              <w:t>program, it is necessary to successfully complete</w:t>
            </w:r>
          </w:p>
          <w:p w14:paraId="3B65C850" w14:textId="30B5FB2D" w:rsidR="000F253D" w:rsidRPr="0045592A" w:rsidRDefault="009D6D69" w:rsidP="00F76BBC">
            <w:pPr>
              <w:pStyle w:val="ListeParagraf"/>
              <w:numPr>
                <w:ilvl w:val="0"/>
                <w:numId w:val="3"/>
              </w:numPr>
              <w:spacing w:after="120" w:line="240" w:lineRule="auto"/>
              <w:ind w:left="276" w:right="88" w:hanging="246"/>
              <w:contextualSpacing w:val="0"/>
              <w:rPr>
                <w:rFonts w:ascii="Arial" w:hAnsi="Arial" w:cs="Arial"/>
                <w:lang w:val="en-US"/>
              </w:rPr>
            </w:pPr>
            <w:r w:rsidRPr="0045592A">
              <w:rPr>
                <w:rFonts w:ascii="Arial" w:hAnsi="Arial" w:cs="Arial"/>
                <w:lang w:val="en-US"/>
              </w:rPr>
              <w:t xml:space="preserve">minimum </w:t>
            </w:r>
            <w:r w:rsidR="00F76BBC" w:rsidRPr="0045592A">
              <w:rPr>
                <w:rFonts w:ascii="Arial" w:hAnsi="Arial" w:cs="Arial"/>
                <w:lang w:val="en-US"/>
              </w:rPr>
              <w:t>seven</w:t>
            </w:r>
            <w:r w:rsidRPr="0045592A">
              <w:rPr>
                <w:rFonts w:ascii="Arial" w:hAnsi="Arial" w:cs="Arial"/>
                <w:lang w:val="en-US"/>
              </w:rPr>
              <w:t xml:space="preserve"> courses including compulsory courses, one of which must be in English, corresponding to at least </w:t>
            </w:r>
            <w:r w:rsidR="0038199E" w:rsidRPr="0045592A">
              <w:rPr>
                <w:rFonts w:ascii="Arial" w:hAnsi="Arial" w:cs="Arial"/>
                <w:lang w:val="en-US"/>
              </w:rPr>
              <w:t xml:space="preserve">21 </w:t>
            </w:r>
            <w:r w:rsidRPr="0045592A">
              <w:rPr>
                <w:rFonts w:ascii="Arial" w:hAnsi="Arial" w:cs="Arial"/>
                <w:lang w:val="en-US"/>
              </w:rPr>
              <w:t>credits (120 ECTS credits) in total as well as the “Seminar” course and the “Scientific Research and Publication Ethics” course (non-credit) by the end of the fourth semester and</w:t>
            </w:r>
          </w:p>
          <w:p w14:paraId="488B362E" w14:textId="0F97535D" w:rsidR="0042487E" w:rsidRPr="0045592A" w:rsidRDefault="009D6D69" w:rsidP="002E2506">
            <w:pPr>
              <w:pStyle w:val="ListeParagraf"/>
              <w:numPr>
                <w:ilvl w:val="0"/>
                <w:numId w:val="3"/>
              </w:numPr>
              <w:spacing w:after="120" w:line="240" w:lineRule="auto"/>
              <w:ind w:left="276" w:right="88" w:hanging="246"/>
              <w:contextualSpacing w:val="0"/>
              <w:jc w:val="both"/>
              <w:rPr>
                <w:rFonts w:ascii="Arial" w:hAnsi="Arial" w:cs="Arial"/>
                <w:lang w:val="en-US"/>
              </w:rPr>
            </w:pPr>
            <w:r w:rsidRPr="0045592A">
              <w:rPr>
                <w:rFonts w:ascii="Arial" w:hAnsi="Arial" w:cs="Arial"/>
                <w:sz w:val="24"/>
                <w:szCs w:val="24"/>
                <w:lang w:val="en-US"/>
              </w:rPr>
              <w:t>the thesis study by the end of the sixth semester.</w:t>
            </w:r>
          </w:p>
        </w:tc>
      </w:tr>
      <w:tr w:rsidR="00A0345C" w:rsidRPr="0045592A" w14:paraId="4BF34F8D" w14:textId="77777777" w:rsidTr="00DA4B73">
        <w:trPr>
          <w:trHeight w:val="150"/>
          <w:tblCellSpacing w:w="15" w:type="dxa"/>
        </w:trPr>
        <w:tc>
          <w:tcPr>
            <w:tcW w:w="10714" w:type="dxa"/>
            <w:vAlign w:val="center"/>
          </w:tcPr>
          <w:p w14:paraId="29DE2419" w14:textId="64E3157B" w:rsidR="00211293" w:rsidRPr="0045592A" w:rsidRDefault="009D6D69" w:rsidP="002E2506">
            <w:pPr>
              <w:spacing w:after="120" w:line="240" w:lineRule="auto"/>
              <w:ind w:left="76" w:right="149"/>
              <w:rPr>
                <w:rFonts w:ascii="Arial" w:hAnsi="Arial" w:cs="Arial"/>
                <w:b/>
                <w:bCs/>
                <w:sz w:val="28"/>
                <w:szCs w:val="28"/>
                <w:lang w:val="en-US"/>
              </w:rPr>
            </w:pPr>
            <w:r w:rsidRPr="0045592A">
              <w:rPr>
                <w:rFonts w:ascii="Arial" w:hAnsi="Arial" w:cs="Arial"/>
                <w:b/>
                <w:bCs/>
                <w:sz w:val="28"/>
                <w:szCs w:val="28"/>
                <w:lang w:val="en-US"/>
              </w:rPr>
              <w:t>Employment Areas for Graduates</w:t>
            </w:r>
          </w:p>
          <w:p w14:paraId="4EB9E0D6" w14:textId="50946B21" w:rsidR="0042487E" w:rsidRPr="0045592A" w:rsidRDefault="009D6D69" w:rsidP="002E2506">
            <w:pPr>
              <w:spacing w:after="120" w:line="240" w:lineRule="auto"/>
              <w:ind w:left="78" w:right="88"/>
              <w:rPr>
                <w:rFonts w:ascii="Arial" w:hAnsi="Arial" w:cs="Arial"/>
                <w:lang w:val="en-US"/>
              </w:rPr>
            </w:pPr>
            <w:proofErr w:type="spellStart"/>
            <w:r w:rsidRPr="0045592A">
              <w:rPr>
                <w:rFonts w:ascii="Arial" w:hAnsi="Arial" w:cs="Arial"/>
                <w:color w:val="FF0000"/>
                <w:lang w:val="en-US"/>
              </w:rPr>
              <w:t>Anabilim</w:t>
            </w:r>
            <w:proofErr w:type="spellEnd"/>
            <w:r w:rsidRPr="0045592A">
              <w:rPr>
                <w:rFonts w:ascii="Arial" w:hAnsi="Arial" w:cs="Arial"/>
                <w:color w:val="FF0000"/>
                <w:lang w:val="en-US"/>
              </w:rPr>
              <w:t xml:space="preserve"> </w:t>
            </w:r>
            <w:proofErr w:type="spellStart"/>
            <w:r w:rsidRPr="0045592A">
              <w:rPr>
                <w:rFonts w:ascii="Arial" w:hAnsi="Arial" w:cs="Arial"/>
                <w:color w:val="FF0000"/>
                <w:lang w:val="en-US"/>
              </w:rPr>
              <w:t>Dalı</w:t>
            </w:r>
            <w:proofErr w:type="spellEnd"/>
            <w:r w:rsidRPr="0045592A">
              <w:rPr>
                <w:rFonts w:ascii="Arial" w:hAnsi="Arial" w:cs="Arial"/>
                <w:color w:val="FF0000"/>
                <w:lang w:val="en-US"/>
              </w:rPr>
              <w:t xml:space="preserve"> </w:t>
            </w:r>
            <w:proofErr w:type="spellStart"/>
            <w:r w:rsidRPr="0045592A">
              <w:rPr>
                <w:rFonts w:ascii="Arial" w:hAnsi="Arial" w:cs="Arial"/>
                <w:color w:val="FF0000"/>
                <w:lang w:val="en-US"/>
              </w:rPr>
              <w:t>Tarafından</w:t>
            </w:r>
            <w:proofErr w:type="spellEnd"/>
            <w:r w:rsidRPr="0045592A">
              <w:rPr>
                <w:rFonts w:ascii="Arial" w:hAnsi="Arial" w:cs="Arial"/>
                <w:color w:val="FF0000"/>
                <w:lang w:val="en-US"/>
              </w:rPr>
              <w:t xml:space="preserve"> </w:t>
            </w:r>
            <w:proofErr w:type="spellStart"/>
            <w:r w:rsidRPr="0045592A">
              <w:rPr>
                <w:rFonts w:ascii="Arial" w:hAnsi="Arial" w:cs="Arial"/>
                <w:color w:val="FF0000"/>
                <w:lang w:val="en-US"/>
              </w:rPr>
              <w:t>Doldurulacak</w:t>
            </w:r>
            <w:proofErr w:type="spellEnd"/>
            <w:r w:rsidRPr="0045592A">
              <w:rPr>
                <w:rFonts w:ascii="Arial" w:hAnsi="Arial" w:cs="Arial"/>
                <w:color w:val="FF0000"/>
                <w:lang w:val="en-US"/>
              </w:rPr>
              <w:t xml:space="preserve"> </w:t>
            </w:r>
          </w:p>
        </w:tc>
      </w:tr>
      <w:tr w:rsidR="00A0345C" w:rsidRPr="0045592A" w14:paraId="56DB986A" w14:textId="77777777" w:rsidTr="00DA4B73">
        <w:trPr>
          <w:trHeight w:val="150"/>
          <w:tblCellSpacing w:w="15" w:type="dxa"/>
        </w:trPr>
        <w:tc>
          <w:tcPr>
            <w:tcW w:w="10714" w:type="dxa"/>
            <w:vAlign w:val="center"/>
            <w:hideMark/>
          </w:tcPr>
          <w:p w14:paraId="503FBDF2" w14:textId="6B5701EA" w:rsidR="0042487E" w:rsidRPr="0045592A" w:rsidRDefault="009D6D69" w:rsidP="002E2506">
            <w:pPr>
              <w:spacing w:after="120" w:line="240" w:lineRule="auto"/>
              <w:ind w:left="78" w:right="88"/>
              <w:rPr>
                <w:rFonts w:ascii="Arial" w:hAnsi="Arial" w:cs="Arial"/>
                <w:sz w:val="28"/>
                <w:szCs w:val="28"/>
                <w:lang w:val="en-US"/>
              </w:rPr>
            </w:pPr>
            <w:r w:rsidRPr="0045592A">
              <w:rPr>
                <w:rFonts w:ascii="Arial" w:hAnsi="Arial" w:cs="Arial"/>
                <w:b/>
                <w:bCs/>
                <w:sz w:val="28"/>
                <w:szCs w:val="28"/>
                <w:lang w:val="en-US"/>
              </w:rPr>
              <w:t>Transition to Senior Programs</w:t>
            </w:r>
          </w:p>
          <w:p w14:paraId="354D6FAE" w14:textId="77777777" w:rsidR="00163F6A" w:rsidRPr="0045592A" w:rsidRDefault="00163F6A" w:rsidP="006121D8">
            <w:pPr>
              <w:spacing w:after="120" w:line="240" w:lineRule="auto"/>
              <w:ind w:left="74" w:right="147"/>
              <w:rPr>
                <w:rFonts w:ascii="Arial" w:hAnsi="Arial" w:cs="Arial"/>
              </w:rPr>
            </w:pPr>
          </w:p>
          <w:p w14:paraId="7DCC21F2" w14:textId="1F45013E" w:rsidR="006121D8" w:rsidRPr="0045592A" w:rsidRDefault="006121D8" w:rsidP="006121D8">
            <w:pPr>
              <w:spacing w:after="120" w:line="240" w:lineRule="auto"/>
              <w:ind w:left="74" w:right="147"/>
              <w:rPr>
                <w:rFonts w:ascii="Arial" w:hAnsi="Arial" w:cs="Arial"/>
              </w:rPr>
            </w:pPr>
            <w:proofErr w:type="spellStart"/>
            <w:r w:rsidRPr="0045592A">
              <w:rPr>
                <w:rFonts w:ascii="Arial" w:hAnsi="Arial" w:cs="Arial"/>
              </w:rPr>
              <w:t>Qualifications</w:t>
            </w:r>
            <w:proofErr w:type="spellEnd"/>
            <w:r w:rsidRPr="0045592A">
              <w:rPr>
                <w:rFonts w:ascii="Arial" w:hAnsi="Arial" w:cs="Arial"/>
              </w:rPr>
              <w:t xml:space="preserve"> </w:t>
            </w:r>
            <w:proofErr w:type="spellStart"/>
            <w:r w:rsidRPr="0045592A">
              <w:rPr>
                <w:rFonts w:ascii="Arial" w:hAnsi="Arial" w:cs="Arial"/>
              </w:rPr>
              <w:t>Frameworks</w:t>
            </w:r>
            <w:proofErr w:type="spellEnd"/>
            <w:r w:rsidRPr="0045592A">
              <w:rPr>
                <w:rFonts w:ascii="Arial" w:hAnsi="Arial" w:cs="Arial"/>
              </w:rPr>
              <w:t xml:space="preserve"> in </w:t>
            </w:r>
            <w:proofErr w:type="spellStart"/>
            <w:r w:rsidRPr="0045592A">
              <w:rPr>
                <w:rFonts w:ascii="Arial" w:hAnsi="Arial" w:cs="Arial"/>
              </w:rPr>
              <w:t>the</w:t>
            </w:r>
            <w:proofErr w:type="spellEnd"/>
            <w:r w:rsidRPr="0045592A">
              <w:rPr>
                <w:rFonts w:ascii="Arial" w:hAnsi="Arial" w:cs="Arial"/>
              </w:rPr>
              <w:t xml:space="preserve"> </w:t>
            </w:r>
            <w:proofErr w:type="spellStart"/>
            <w:r w:rsidRPr="0045592A">
              <w:rPr>
                <w:rFonts w:ascii="Arial" w:hAnsi="Arial" w:cs="Arial"/>
              </w:rPr>
              <w:t>European</w:t>
            </w:r>
            <w:proofErr w:type="spellEnd"/>
            <w:r w:rsidRPr="0045592A">
              <w:rPr>
                <w:rFonts w:ascii="Arial" w:hAnsi="Arial" w:cs="Arial"/>
              </w:rPr>
              <w:t xml:space="preserve"> </w:t>
            </w:r>
            <w:proofErr w:type="spellStart"/>
            <w:r w:rsidRPr="0045592A">
              <w:rPr>
                <w:rFonts w:ascii="Arial" w:hAnsi="Arial" w:cs="Arial"/>
              </w:rPr>
              <w:t>Higher</w:t>
            </w:r>
            <w:proofErr w:type="spellEnd"/>
            <w:r w:rsidRPr="0045592A">
              <w:rPr>
                <w:rFonts w:ascii="Arial" w:hAnsi="Arial" w:cs="Arial"/>
              </w:rPr>
              <w:t xml:space="preserve"> </w:t>
            </w:r>
            <w:proofErr w:type="spellStart"/>
            <w:r w:rsidRPr="0045592A">
              <w:rPr>
                <w:rFonts w:ascii="Arial" w:hAnsi="Arial" w:cs="Arial"/>
              </w:rPr>
              <w:t>Education</w:t>
            </w:r>
            <w:proofErr w:type="spellEnd"/>
            <w:r w:rsidRPr="0045592A">
              <w:rPr>
                <w:rFonts w:ascii="Arial" w:hAnsi="Arial" w:cs="Arial"/>
              </w:rPr>
              <w:t xml:space="preserve"> </w:t>
            </w:r>
            <w:proofErr w:type="spellStart"/>
            <w:r w:rsidRPr="0045592A">
              <w:rPr>
                <w:rFonts w:ascii="Arial" w:hAnsi="Arial" w:cs="Arial"/>
              </w:rPr>
              <w:t>Area</w:t>
            </w:r>
            <w:proofErr w:type="spellEnd"/>
            <w:r w:rsidRPr="0045592A">
              <w:rPr>
                <w:rFonts w:ascii="Arial" w:hAnsi="Arial" w:cs="Arial"/>
              </w:rPr>
              <w:t xml:space="preserve"> (QF-EHEA), Level 3</w:t>
            </w:r>
          </w:p>
          <w:p w14:paraId="1B3F42EB" w14:textId="77777777" w:rsidR="006121D8" w:rsidRPr="0045592A" w:rsidRDefault="006121D8" w:rsidP="006121D8">
            <w:pPr>
              <w:spacing w:after="120" w:line="240" w:lineRule="auto"/>
              <w:ind w:left="74" w:right="147"/>
              <w:rPr>
                <w:rFonts w:ascii="Arial" w:hAnsi="Arial" w:cs="Arial"/>
              </w:rPr>
            </w:pPr>
            <w:proofErr w:type="spellStart"/>
            <w:r w:rsidRPr="0045592A">
              <w:rPr>
                <w:rFonts w:ascii="Arial" w:hAnsi="Arial" w:cs="Arial"/>
                <w:shd w:val="clear" w:color="auto" w:fill="FFFFFF"/>
              </w:rPr>
              <w:t>European</w:t>
            </w:r>
            <w:proofErr w:type="spellEnd"/>
            <w:r w:rsidRPr="0045592A">
              <w:rPr>
                <w:rFonts w:ascii="Arial" w:hAnsi="Arial" w:cs="Arial"/>
                <w:shd w:val="clear" w:color="auto" w:fill="FFFFFF"/>
              </w:rPr>
              <w:t xml:space="preserve"> </w:t>
            </w:r>
            <w:proofErr w:type="spellStart"/>
            <w:r w:rsidRPr="0045592A">
              <w:rPr>
                <w:rFonts w:ascii="Arial" w:hAnsi="Arial" w:cs="Arial"/>
                <w:shd w:val="clear" w:color="auto" w:fill="FFFFFF"/>
              </w:rPr>
              <w:t>Qualifications</w:t>
            </w:r>
            <w:proofErr w:type="spellEnd"/>
            <w:r w:rsidRPr="0045592A">
              <w:rPr>
                <w:rFonts w:ascii="Arial" w:hAnsi="Arial" w:cs="Arial"/>
                <w:shd w:val="clear" w:color="auto" w:fill="FFFFFF"/>
              </w:rPr>
              <w:t xml:space="preserve"> Framework </w:t>
            </w:r>
            <w:proofErr w:type="spellStart"/>
            <w:r w:rsidRPr="0045592A">
              <w:rPr>
                <w:rFonts w:ascii="Arial" w:hAnsi="Arial" w:cs="Arial"/>
                <w:shd w:val="clear" w:color="auto" w:fill="FFFFFF"/>
              </w:rPr>
              <w:t>for</w:t>
            </w:r>
            <w:proofErr w:type="spellEnd"/>
            <w:r w:rsidRPr="0045592A">
              <w:rPr>
                <w:rFonts w:ascii="Arial" w:hAnsi="Arial" w:cs="Arial"/>
                <w:shd w:val="clear" w:color="auto" w:fill="FFFFFF"/>
              </w:rPr>
              <w:t xml:space="preserve"> </w:t>
            </w:r>
            <w:proofErr w:type="spellStart"/>
            <w:r w:rsidRPr="0045592A">
              <w:rPr>
                <w:rFonts w:ascii="Arial" w:hAnsi="Arial" w:cs="Arial"/>
                <w:shd w:val="clear" w:color="auto" w:fill="FFFFFF"/>
              </w:rPr>
              <w:t>Lifelong</w:t>
            </w:r>
            <w:proofErr w:type="spellEnd"/>
            <w:r w:rsidRPr="0045592A">
              <w:rPr>
                <w:rFonts w:ascii="Arial" w:hAnsi="Arial" w:cs="Arial"/>
                <w:shd w:val="clear" w:color="auto" w:fill="FFFFFF"/>
              </w:rPr>
              <w:t xml:space="preserve"> Learning</w:t>
            </w:r>
            <w:r w:rsidRPr="0045592A">
              <w:rPr>
                <w:rFonts w:ascii="Arial" w:hAnsi="Arial" w:cs="Arial"/>
              </w:rPr>
              <w:t xml:space="preserve"> (EQF-LLL</w:t>
            </w:r>
            <w:r w:rsidRPr="0045592A">
              <w:rPr>
                <w:rFonts w:ascii="Arial" w:hAnsi="Arial" w:cs="Arial"/>
                <w:shd w:val="clear" w:color="auto" w:fill="FFFFFF"/>
              </w:rPr>
              <w:t xml:space="preserve">), </w:t>
            </w:r>
            <w:r w:rsidRPr="0045592A">
              <w:rPr>
                <w:rFonts w:ascii="Arial" w:hAnsi="Arial" w:cs="Arial"/>
              </w:rPr>
              <w:t>Level 8</w:t>
            </w:r>
          </w:p>
          <w:p w14:paraId="5BB65AF4" w14:textId="77777777" w:rsidR="006121D8" w:rsidRPr="0045592A" w:rsidRDefault="006121D8" w:rsidP="002E2506">
            <w:pPr>
              <w:spacing w:after="120" w:line="240" w:lineRule="auto"/>
              <w:ind w:left="78" w:right="88"/>
              <w:rPr>
                <w:rFonts w:ascii="Arial" w:hAnsi="Arial" w:cs="Arial"/>
                <w:color w:val="FF0000"/>
                <w:lang w:val="en-US"/>
              </w:rPr>
            </w:pPr>
          </w:p>
          <w:p w14:paraId="5AF7288D" w14:textId="77777777" w:rsidR="0042487E" w:rsidRPr="0045592A" w:rsidRDefault="0042487E" w:rsidP="002E2506">
            <w:pPr>
              <w:spacing w:after="120" w:line="240" w:lineRule="auto"/>
              <w:ind w:left="78" w:right="88"/>
              <w:rPr>
                <w:rFonts w:ascii="Arial" w:hAnsi="Arial" w:cs="Arial"/>
                <w:lang w:val="en-US"/>
              </w:rPr>
            </w:pPr>
          </w:p>
        </w:tc>
      </w:tr>
      <w:tr w:rsidR="00A0345C" w:rsidRPr="0045592A" w14:paraId="75452746" w14:textId="77777777" w:rsidTr="00DA4B73">
        <w:trPr>
          <w:trHeight w:val="150"/>
          <w:tblCellSpacing w:w="15" w:type="dxa"/>
        </w:trPr>
        <w:tc>
          <w:tcPr>
            <w:tcW w:w="10714" w:type="dxa"/>
            <w:vAlign w:val="center"/>
            <w:hideMark/>
          </w:tcPr>
          <w:p w14:paraId="417309A0" w14:textId="4CA711E1" w:rsidR="0042487E" w:rsidRPr="0045592A" w:rsidRDefault="009D6D69" w:rsidP="002E2506">
            <w:pPr>
              <w:spacing w:after="120" w:line="240" w:lineRule="auto"/>
              <w:ind w:left="78" w:right="88"/>
              <w:rPr>
                <w:rFonts w:ascii="Arial" w:hAnsi="Arial" w:cs="Arial"/>
                <w:lang w:val="en-US"/>
              </w:rPr>
            </w:pPr>
            <w:r w:rsidRPr="0045592A">
              <w:rPr>
                <w:rFonts w:ascii="Arial" w:hAnsi="Arial" w:cs="Arial"/>
                <w:b/>
                <w:bCs/>
                <w:sz w:val="28"/>
                <w:szCs w:val="28"/>
                <w:lang w:val="en-US"/>
              </w:rPr>
              <w:t xml:space="preserve">Contact </w:t>
            </w:r>
            <w:r w:rsidR="007A2F08" w:rsidRPr="0045592A">
              <w:rPr>
                <w:rFonts w:ascii="Arial" w:hAnsi="Arial" w:cs="Arial"/>
                <w:b/>
                <w:bCs/>
                <w:sz w:val="28"/>
                <w:szCs w:val="28"/>
                <w:lang w:val="en-US"/>
              </w:rPr>
              <w:t>Details</w:t>
            </w:r>
          </w:p>
        </w:tc>
      </w:tr>
      <w:tr w:rsidR="00A0345C" w:rsidRPr="0045592A" w14:paraId="26558300" w14:textId="77777777" w:rsidTr="00DA4B73">
        <w:trPr>
          <w:trHeight w:val="150"/>
          <w:tblCellSpacing w:w="15" w:type="dxa"/>
        </w:trPr>
        <w:tc>
          <w:tcPr>
            <w:tcW w:w="10714" w:type="dxa"/>
            <w:vAlign w:val="center"/>
            <w:hideMark/>
          </w:tcPr>
          <w:p w14:paraId="790094B3" w14:textId="5F0E7AA3" w:rsidR="0042487E" w:rsidRPr="0045592A" w:rsidRDefault="009D6D69" w:rsidP="002E2506">
            <w:pPr>
              <w:spacing w:after="120" w:line="240" w:lineRule="auto"/>
              <w:ind w:left="78" w:right="88"/>
              <w:rPr>
                <w:rFonts w:ascii="Arial" w:hAnsi="Arial" w:cs="Arial"/>
              </w:rPr>
            </w:pPr>
            <w:proofErr w:type="spellStart"/>
            <w:r w:rsidRPr="0045592A">
              <w:rPr>
                <w:rFonts w:ascii="Arial" w:hAnsi="Arial" w:cs="Arial"/>
              </w:rPr>
              <w:t>Address</w:t>
            </w:r>
            <w:proofErr w:type="spellEnd"/>
            <w:r w:rsidRPr="0045592A">
              <w:rPr>
                <w:rFonts w:ascii="Arial" w:hAnsi="Arial" w:cs="Arial"/>
              </w:rPr>
              <w:t xml:space="preserve">: </w:t>
            </w:r>
          </w:p>
        </w:tc>
      </w:tr>
      <w:tr w:rsidR="00A0345C" w:rsidRPr="0045592A" w14:paraId="4D730A97" w14:textId="77777777" w:rsidTr="00DA4B73">
        <w:trPr>
          <w:trHeight w:val="150"/>
          <w:tblCellSpacing w:w="15" w:type="dxa"/>
        </w:trPr>
        <w:tc>
          <w:tcPr>
            <w:tcW w:w="10714" w:type="dxa"/>
            <w:vAlign w:val="center"/>
            <w:hideMark/>
          </w:tcPr>
          <w:p w14:paraId="398F6719" w14:textId="36FC6614" w:rsidR="0042487E" w:rsidRPr="0045592A" w:rsidRDefault="009D6D69" w:rsidP="002E2506">
            <w:pPr>
              <w:spacing w:after="120" w:line="240" w:lineRule="auto"/>
              <w:ind w:left="78" w:right="88"/>
              <w:rPr>
                <w:rFonts w:ascii="Arial" w:hAnsi="Arial" w:cs="Arial"/>
                <w:lang w:val="en-US"/>
              </w:rPr>
            </w:pPr>
            <w:r w:rsidRPr="0045592A">
              <w:rPr>
                <w:rFonts w:ascii="Arial" w:hAnsi="Arial" w:cs="Arial"/>
                <w:lang w:val="en-US"/>
              </w:rPr>
              <w:t xml:space="preserve">Phone: +90 462 </w:t>
            </w:r>
          </w:p>
        </w:tc>
      </w:tr>
      <w:tr w:rsidR="00A0345C" w:rsidRPr="0045592A" w14:paraId="6E96AD70" w14:textId="77777777" w:rsidTr="00DA4B73">
        <w:trPr>
          <w:trHeight w:val="150"/>
          <w:tblCellSpacing w:w="15" w:type="dxa"/>
        </w:trPr>
        <w:tc>
          <w:tcPr>
            <w:tcW w:w="10714" w:type="dxa"/>
            <w:vAlign w:val="center"/>
            <w:hideMark/>
          </w:tcPr>
          <w:p w14:paraId="516A1AE5" w14:textId="0BE4EA8E" w:rsidR="0042487E" w:rsidRPr="0045592A" w:rsidRDefault="009D6D69" w:rsidP="002E2506">
            <w:pPr>
              <w:spacing w:after="120" w:line="240" w:lineRule="auto"/>
              <w:ind w:left="78" w:right="88"/>
              <w:rPr>
                <w:rFonts w:ascii="Arial" w:hAnsi="Arial" w:cs="Arial"/>
                <w:lang w:val="en-US"/>
              </w:rPr>
            </w:pPr>
            <w:r w:rsidRPr="0045592A">
              <w:rPr>
                <w:rFonts w:ascii="Arial" w:hAnsi="Arial" w:cs="Arial"/>
                <w:lang w:val="en-US"/>
              </w:rPr>
              <w:t xml:space="preserve">Fax: +90 462 </w:t>
            </w:r>
          </w:p>
        </w:tc>
      </w:tr>
      <w:tr w:rsidR="00A0345C" w:rsidRPr="0045592A" w14:paraId="0339564A" w14:textId="77777777" w:rsidTr="00DA4B73">
        <w:trPr>
          <w:trHeight w:val="150"/>
          <w:tblCellSpacing w:w="15" w:type="dxa"/>
        </w:trPr>
        <w:tc>
          <w:tcPr>
            <w:tcW w:w="10714" w:type="dxa"/>
            <w:vAlign w:val="center"/>
            <w:hideMark/>
          </w:tcPr>
          <w:p w14:paraId="25889142" w14:textId="68070288" w:rsidR="0042487E" w:rsidRPr="0045592A" w:rsidRDefault="009D6D69" w:rsidP="002E2506">
            <w:pPr>
              <w:spacing w:after="120" w:line="240" w:lineRule="auto"/>
              <w:ind w:left="78" w:right="88"/>
              <w:rPr>
                <w:rFonts w:ascii="Arial" w:hAnsi="Arial" w:cs="Arial"/>
                <w:lang w:val="it-IT"/>
              </w:rPr>
            </w:pPr>
            <w:r w:rsidRPr="0045592A">
              <w:rPr>
                <w:rFonts w:ascii="Arial" w:hAnsi="Arial" w:cs="Arial"/>
                <w:lang w:val="it-IT"/>
              </w:rPr>
              <w:t>E-</w:t>
            </w:r>
            <w:r w:rsidR="009B3B57" w:rsidRPr="0045592A">
              <w:rPr>
                <w:rFonts w:ascii="Arial" w:hAnsi="Arial" w:cs="Arial"/>
                <w:lang w:val="it-IT"/>
              </w:rPr>
              <w:t>m</w:t>
            </w:r>
            <w:r w:rsidRPr="0045592A">
              <w:rPr>
                <w:rFonts w:ascii="Arial" w:hAnsi="Arial" w:cs="Arial"/>
                <w:lang w:val="it-IT"/>
              </w:rPr>
              <w:t xml:space="preserve">ail: </w:t>
            </w:r>
          </w:p>
        </w:tc>
      </w:tr>
      <w:tr w:rsidR="00A0345C" w:rsidRPr="0045592A" w14:paraId="015761F0" w14:textId="77777777" w:rsidTr="00DA4B73">
        <w:trPr>
          <w:trHeight w:val="150"/>
          <w:tblCellSpacing w:w="15" w:type="dxa"/>
        </w:trPr>
        <w:tc>
          <w:tcPr>
            <w:tcW w:w="10714" w:type="dxa"/>
            <w:vAlign w:val="center"/>
            <w:hideMark/>
          </w:tcPr>
          <w:p w14:paraId="49B00908" w14:textId="1484EAF5" w:rsidR="0042487E" w:rsidRPr="0045592A" w:rsidRDefault="009D6D69" w:rsidP="002E2506">
            <w:pPr>
              <w:spacing w:after="120" w:line="240" w:lineRule="auto"/>
              <w:ind w:left="78" w:right="88"/>
              <w:rPr>
                <w:rFonts w:ascii="Arial" w:hAnsi="Arial" w:cs="Arial"/>
                <w:lang w:val="en-US"/>
              </w:rPr>
            </w:pPr>
            <w:r w:rsidRPr="0045592A">
              <w:rPr>
                <w:rFonts w:ascii="Arial" w:hAnsi="Arial" w:cs="Arial"/>
                <w:lang w:val="en-US"/>
              </w:rPr>
              <w:t xml:space="preserve">Web Address: </w:t>
            </w:r>
          </w:p>
        </w:tc>
      </w:tr>
      <w:tr w:rsidR="00A0345C" w:rsidRPr="00085272" w14:paraId="221A8F86" w14:textId="77777777" w:rsidTr="00DA4B73">
        <w:trPr>
          <w:trHeight w:val="150"/>
          <w:tblCellSpacing w:w="15" w:type="dxa"/>
        </w:trPr>
        <w:tc>
          <w:tcPr>
            <w:tcW w:w="10714" w:type="dxa"/>
            <w:vAlign w:val="center"/>
            <w:hideMark/>
          </w:tcPr>
          <w:p w14:paraId="1054D921" w14:textId="76BBEB2B" w:rsidR="0042487E" w:rsidRPr="00085272" w:rsidRDefault="009D6D69" w:rsidP="002E2506">
            <w:pPr>
              <w:spacing w:after="120" w:line="240" w:lineRule="auto"/>
              <w:ind w:left="78" w:right="88"/>
              <w:rPr>
                <w:rFonts w:ascii="Arial" w:hAnsi="Arial" w:cs="Arial"/>
                <w:lang w:val="en-US"/>
              </w:rPr>
            </w:pPr>
            <w:r w:rsidRPr="0045592A">
              <w:rPr>
                <w:rFonts w:ascii="Arial" w:hAnsi="Arial" w:cs="Arial"/>
                <w:b/>
                <w:bCs/>
                <w:lang w:val="en-US"/>
              </w:rPr>
              <w:t>Department Facilities:</w:t>
            </w:r>
            <w:r w:rsidRPr="00085272">
              <w:rPr>
                <w:rFonts w:ascii="Arial" w:hAnsi="Arial" w:cs="Arial"/>
                <w:b/>
                <w:bCs/>
                <w:lang w:val="en-US"/>
              </w:rPr>
              <w:t> </w:t>
            </w:r>
          </w:p>
        </w:tc>
      </w:tr>
    </w:tbl>
    <w:p w14:paraId="2C4A6A9F" w14:textId="77777777" w:rsidR="0042487E" w:rsidRPr="00085272" w:rsidRDefault="0042487E">
      <w:pPr>
        <w:rPr>
          <w:rFonts w:ascii="Arial" w:hAnsi="Arial" w:cs="Arial"/>
          <w:lang w:val="en-US"/>
        </w:rPr>
      </w:pPr>
    </w:p>
    <w:sectPr w:rsidR="0042487E" w:rsidRPr="00085272">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F4B80" w14:textId="77777777" w:rsidR="008F609D" w:rsidRDefault="008F609D" w:rsidP="00F14C2D">
      <w:pPr>
        <w:spacing w:after="0" w:line="240" w:lineRule="auto"/>
      </w:pPr>
      <w:r>
        <w:separator/>
      </w:r>
    </w:p>
  </w:endnote>
  <w:endnote w:type="continuationSeparator" w:id="0">
    <w:p w14:paraId="57173892" w14:textId="77777777" w:rsidR="008F609D" w:rsidRDefault="008F609D" w:rsidP="00F14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8234A" w14:textId="77777777" w:rsidR="008F609D" w:rsidRDefault="008F609D" w:rsidP="00F14C2D">
      <w:pPr>
        <w:spacing w:after="0" w:line="240" w:lineRule="auto"/>
      </w:pPr>
      <w:r>
        <w:separator/>
      </w:r>
    </w:p>
  </w:footnote>
  <w:footnote w:type="continuationSeparator" w:id="0">
    <w:p w14:paraId="1F7FDDB7" w14:textId="77777777" w:rsidR="008F609D" w:rsidRDefault="008F609D" w:rsidP="00F14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6076D" w14:textId="7420A157" w:rsidR="00F14C2D" w:rsidRDefault="00DA4B73" w:rsidP="00F14C2D">
    <w:pPr>
      <w:pStyle w:val="stBilgi"/>
      <w:jc w:val="center"/>
      <w:rPr>
        <w:rFonts w:ascii="Arial" w:hAnsi="Arial" w:cs="Arial"/>
        <w:b/>
        <w:bCs/>
        <w:sz w:val="24"/>
        <w:szCs w:val="24"/>
      </w:rPr>
    </w:pPr>
    <w:r w:rsidRPr="006C58B9">
      <w:rPr>
        <w:noProof/>
      </w:rPr>
      <w:drawing>
        <wp:anchor distT="0" distB="0" distL="114300" distR="114300" simplePos="0" relativeHeight="251658752" behindDoc="0" locked="0" layoutInCell="1" allowOverlap="1" wp14:anchorId="621587EB" wp14:editId="50AA97E9">
          <wp:simplePos x="0" y="0"/>
          <wp:positionH relativeFrom="column">
            <wp:posOffset>5344341</wp:posOffset>
          </wp:positionH>
          <wp:positionV relativeFrom="paragraph">
            <wp:posOffset>-413930</wp:posOffset>
          </wp:positionV>
          <wp:extent cx="1049020" cy="427355"/>
          <wp:effectExtent l="0" t="0" r="0" b="0"/>
          <wp:wrapSquare wrapText="bothSides"/>
          <wp:docPr id="9" name="Resim 9" descr="metin içeren bir resim&#10;&#10;Açıklama otomatik olarak oluşturuldu">
            <a:extLst xmlns:a="http://schemas.openxmlformats.org/drawingml/2006/main">
              <a:ext uri="{FF2B5EF4-FFF2-40B4-BE49-F238E27FC236}">
                <a16:creationId xmlns:a16="http://schemas.microsoft.com/office/drawing/2014/main" id="{47574EA8-B1A1-4DCB-A066-E84EB1CEE3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6" descr="metin içeren bir resim&#10;&#10;Açıklama otomatik olarak oluşturuldu">
                    <a:extLst>
                      <a:ext uri="{FF2B5EF4-FFF2-40B4-BE49-F238E27FC236}">
                        <a16:creationId xmlns:a16="http://schemas.microsoft.com/office/drawing/2014/main" id="{47574EA8-B1A1-4DCB-A066-E84EB1CEE394}"/>
                      </a:ext>
                    </a:extLst>
                  </pic:cNvPr>
                  <pic:cNvPicPr>
                    <a:picLocks noChangeAspect="1"/>
                  </pic:cNvPicPr>
                </pic:nvPicPr>
                <pic:blipFill rotWithShape="1">
                  <a:blip r:embed="rId1">
                    <a:extLst>
                      <a:ext uri="{28A0092B-C50C-407E-A947-70E740481C1C}">
                        <a14:useLocalDpi xmlns:a14="http://schemas.microsoft.com/office/drawing/2010/main" val="0"/>
                      </a:ext>
                    </a:extLst>
                  </a:blip>
                  <a:srcRect l="16349" t="1062" r="8344" b="32397"/>
                  <a:stretch/>
                </pic:blipFill>
                <pic:spPr>
                  <a:xfrm>
                    <a:off x="0" y="0"/>
                    <a:ext cx="1049020" cy="427355"/>
                  </a:xfrm>
                  <a:prstGeom prst="rect">
                    <a:avLst/>
                  </a:prstGeom>
                </pic:spPr>
              </pic:pic>
            </a:graphicData>
          </a:graphic>
          <wp14:sizeRelH relativeFrom="margin">
            <wp14:pctWidth>0</wp14:pctWidth>
          </wp14:sizeRelH>
          <wp14:sizeRelV relativeFrom="margin">
            <wp14:pctHeight>0</wp14:pctHeight>
          </wp14:sizeRelV>
        </wp:anchor>
      </w:drawing>
    </w:r>
    <w:r w:rsidR="00F14C2D">
      <w:rPr>
        <w:rFonts w:ascii="Arial" w:hAnsi="Arial" w:cs="Arial"/>
        <w:b/>
        <w:bCs/>
        <w:sz w:val="24"/>
        <w:szCs w:val="24"/>
      </w:rPr>
      <w:t>EK-</w:t>
    </w:r>
    <w:r w:rsidR="0015707B">
      <w:rPr>
        <w:rFonts w:ascii="Arial" w:hAnsi="Arial" w:cs="Arial"/>
        <w:b/>
        <w:bCs/>
        <w:sz w:val="24"/>
        <w:szCs w:val="24"/>
      </w:rPr>
      <w:t>8</w:t>
    </w:r>
    <w:r w:rsidR="00F14C2D">
      <w:rPr>
        <w:rFonts w:ascii="Arial" w:hAnsi="Arial" w:cs="Arial"/>
        <w:b/>
        <w:bCs/>
        <w:sz w:val="24"/>
        <w:szCs w:val="24"/>
      </w:rPr>
      <w:t>.1.2.2.</w:t>
    </w:r>
    <w:r w:rsidRPr="00DA4B73">
      <w:rPr>
        <w:noProof/>
      </w:rPr>
      <w:t xml:space="preserve"> </w:t>
    </w:r>
  </w:p>
  <w:p w14:paraId="7394B699" w14:textId="77777777" w:rsidR="00F14C2D" w:rsidRDefault="00F14C2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5CCE"/>
    <w:multiLevelType w:val="hybridMultilevel"/>
    <w:tmpl w:val="20E08336"/>
    <w:lvl w:ilvl="0" w:tplc="649649CC">
      <w:start w:val="1"/>
      <w:numFmt w:val="decimal"/>
      <w:lvlText w:val="%1."/>
      <w:lvlJc w:val="left"/>
      <w:pPr>
        <w:ind w:left="436" w:hanging="360"/>
      </w:pPr>
      <w:rPr>
        <w:rFonts w:hint="default"/>
      </w:rPr>
    </w:lvl>
    <w:lvl w:ilvl="1" w:tplc="94D65954" w:tentative="1">
      <w:start w:val="1"/>
      <w:numFmt w:val="lowerLetter"/>
      <w:lvlText w:val="%2."/>
      <w:lvlJc w:val="left"/>
      <w:pPr>
        <w:ind w:left="1156" w:hanging="360"/>
      </w:pPr>
    </w:lvl>
    <w:lvl w:ilvl="2" w:tplc="6A165F14" w:tentative="1">
      <w:start w:val="1"/>
      <w:numFmt w:val="lowerRoman"/>
      <w:lvlText w:val="%3."/>
      <w:lvlJc w:val="right"/>
      <w:pPr>
        <w:ind w:left="1876" w:hanging="180"/>
      </w:pPr>
    </w:lvl>
    <w:lvl w:ilvl="3" w:tplc="03D2E028" w:tentative="1">
      <w:start w:val="1"/>
      <w:numFmt w:val="decimal"/>
      <w:lvlText w:val="%4."/>
      <w:lvlJc w:val="left"/>
      <w:pPr>
        <w:ind w:left="2596" w:hanging="360"/>
      </w:pPr>
    </w:lvl>
    <w:lvl w:ilvl="4" w:tplc="2266EF4E" w:tentative="1">
      <w:start w:val="1"/>
      <w:numFmt w:val="lowerLetter"/>
      <w:lvlText w:val="%5."/>
      <w:lvlJc w:val="left"/>
      <w:pPr>
        <w:ind w:left="3316" w:hanging="360"/>
      </w:pPr>
    </w:lvl>
    <w:lvl w:ilvl="5" w:tplc="2FD8BAF0" w:tentative="1">
      <w:start w:val="1"/>
      <w:numFmt w:val="lowerRoman"/>
      <w:lvlText w:val="%6."/>
      <w:lvlJc w:val="right"/>
      <w:pPr>
        <w:ind w:left="4036" w:hanging="180"/>
      </w:pPr>
    </w:lvl>
    <w:lvl w:ilvl="6" w:tplc="1508523E" w:tentative="1">
      <w:start w:val="1"/>
      <w:numFmt w:val="decimal"/>
      <w:lvlText w:val="%7."/>
      <w:lvlJc w:val="left"/>
      <w:pPr>
        <w:ind w:left="4756" w:hanging="360"/>
      </w:pPr>
    </w:lvl>
    <w:lvl w:ilvl="7" w:tplc="8916B2E0" w:tentative="1">
      <w:start w:val="1"/>
      <w:numFmt w:val="lowerLetter"/>
      <w:lvlText w:val="%8."/>
      <w:lvlJc w:val="left"/>
      <w:pPr>
        <w:ind w:left="5476" w:hanging="360"/>
      </w:pPr>
    </w:lvl>
    <w:lvl w:ilvl="8" w:tplc="CFE2A004" w:tentative="1">
      <w:start w:val="1"/>
      <w:numFmt w:val="lowerRoman"/>
      <w:lvlText w:val="%9."/>
      <w:lvlJc w:val="right"/>
      <w:pPr>
        <w:ind w:left="6196" w:hanging="180"/>
      </w:pPr>
    </w:lvl>
  </w:abstractNum>
  <w:abstractNum w:abstractNumId="1" w15:restartNumberingAfterBreak="0">
    <w:nsid w:val="33C65DB1"/>
    <w:multiLevelType w:val="hybridMultilevel"/>
    <w:tmpl w:val="4EDEF050"/>
    <w:lvl w:ilvl="0" w:tplc="F65603E2">
      <w:start w:val="1"/>
      <w:numFmt w:val="bullet"/>
      <w:lvlText w:val=""/>
      <w:lvlJc w:val="left"/>
      <w:pPr>
        <w:ind w:left="720" w:hanging="360"/>
      </w:pPr>
      <w:rPr>
        <w:rFonts w:ascii="Symbol" w:hAnsi="Symbol" w:hint="default"/>
      </w:rPr>
    </w:lvl>
    <w:lvl w:ilvl="1" w:tplc="701EA8BE" w:tentative="1">
      <w:start w:val="1"/>
      <w:numFmt w:val="bullet"/>
      <w:lvlText w:val="o"/>
      <w:lvlJc w:val="left"/>
      <w:pPr>
        <w:ind w:left="1440" w:hanging="360"/>
      </w:pPr>
      <w:rPr>
        <w:rFonts w:ascii="Courier New" w:hAnsi="Courier New" w:cs="Courier New" w:hint="default"/>
      </w:rPr>
    </w:lvl>
    <w:lvl w:ilvl="2" w:tplc="1D7C612A" w:tentative="1">
      <w:start w:val="1"/>
      <w:numFmt w:val="bullet"/>
      <w:lvlText w:val=""/>
      <w:lvlJc w:val="left"/>
      <w:pPr>
        <w:ind w:left="2160" w:hanging="360"/>
      </w:pPr>
      <w:rPr>
        <w:rFonts w:ascii="Wingdings" w:hAnsi="Wingdings" w:hint="default"/>
      </w:rPr>
    </w:lvl>
    <w:lvl w:ilvl="3" w:tplc="0794FEC8" w:tentative="1">
      <w:start w:val="1"/>
      <w:numFmt w:val="bullet"/>
      <w:lvlText w:val=""/>
      <w:lvlJc w:val="left"/>
      <w:pPr>
        <w:ind w:left="2880" w:hanging="360"/>
      </w:pPr>
      <w:rPr>
        <w:rFonts w:ascii="Symbol" w:hAnsi="Symbol" w:hint="default"/>
      </w:rPr>
    </w:lvl>
    <w:lvl w:ilvl="4" w:tplc="EFA07604" w:tentative="1">
      <w:start w:val="1"/>
      <w:numFmt w:val="bullet"/>
      <w:lvlText w:val="o"/>
      <w:lvlJc w:val="left"/>
      <w:pPr>
        <w:ind w:left="3600" w:hanging="360"/>
      </w:pPr>
      <w:rPr>
        <w:rFonts w:ascii="Courier New" w:hAnsi="Courier New" w:cs="Courier New" w:hint="default"/>
      </w:rPr>
    </w:lvl>
    <w:lvl w:ilvl="5" w:tplc="1B16A57A" w:tentative="1">
      <w:start w:val="1"/>
      <w:numFmt w:val="bullet"/>
      <w:lvlText w:val=""/>
      <w:lvlJc w:val="left"/>
      <w:pPr>
        <w:ind w:left="4320" w:hanging="360"/>
      </w:pPr>
      <w:rPr>
        <w:rFonts w:ascii="Wingdings" w:hAnsi="Wingdings" w:hint="default"/>
      </w:rPr>
    </w:lvl>
    <w:lvl w:ilvl="6" w:tplc="A9BE5D0A" w:tentative="1">
      <w:start w:val="1"/>
      <w:numFmt w:val="bullet"/>
      <w:lvlText w:val=""/>
      <w:lvlJc w:val="left"/>
      <w:pPr>
        <w:ind w:left="5040" w:hanging="360"/>
      </w:pPr>
      <w:rPr>
        <w:rFonts w:ascii="Symbol" w:hAnsi="Symbol" w:hint="default"/>
      </w:rPr>
    </w:lvl>
    <w:lvl w:ilvl="7" w:tplc="B1F0F6B0" w:tentative="1">
      <w:start w:val="1"/>
      <w:numFmt w:val="bullet"/>
      <w:lvlText w:val="o"/>
      <w:lvlJc w:val="left"/>
      <w:pPr>
        <w:ind w:left="5760" w:hanging="360"/>
      </w:pPr>
      <w:rPr>
        <w:rFonts w:ascii="Courier New" w:hAnsi="Courier New" w:cs="Courier New" w:hint="default"/>
      </w:rPr>
    </w:lvl>
    <w:lvl w:ilvl="8" w:tplc="71EE579C" w:tentative="1">
      <w:start w:val="1"/>
      <w:numFmt w:val="bullet"/>
      <w:lvlText w:val=""/>
      <w:lvlJc w:val="left"/>
      <w:pPr>
        <w:ind w:left="6480" w:hanging="360"/>
      </w:pPr>
      <w:rPr>
        <w:rFonts w:ascii="Wingdings" w:hAnsi="Wingdings" w:hint="default"/>
      </w:rPr>
    </w:lvl>
  </w:abstractNum>
  <w:abstractNum w:abstractNumId="2" w15:restartNumberingAfterBreak="0">
    <w:nsid w:val="615F50E5"/>
    <w:multiLevelType w:val="hybridMultilevel"/>
    <w:tmpl w:val="3894EF84"/>
    <w:lvl w:ilvl="0" w:tplc="E1F05310">
      <w:numFmt w:val="bullet"/>
      <w:lvlText w:val="-"/>
      <w:lvlJc w:val="left"/>
      <w:pPr>
        <w:ind w:left="798" w:hanging="360"/>
      </w:pPr>
      <w:rPr>
        <w:rFonts w:ascii="Arial" w:eastAsiaTheme="minorHAnsi" w:hAnsi="Arial" w:cs="Arial" w:hint="default"/>
      </w:rPr>
    </w:lvl>
    <w:lvl w:ilvl="1" w:tplc="E3FE20C8" w:tentative="1">
      <w:start w:val="1"/>
      <w:numFmt w:val="bullet"/>
      <w:lvlText w:val="o"/>
      <w:lvlJc w:val="left"/>
      <w:pPr>
        <w:ind w:left="1518" w:hanging="360"/>
      </w:pPr>
      <w:rPr>
        <w:rFonts w:ascii="Courier New" w:hAnsi="Courier New" w:cs="Courier New" w:hint="default"/>
      </w:rPr>
    </w:lvl>
    <w:lvl w:ilvl="2" w:tplc="094040F6" w:tentative="1">
      <w:start w:val="1"/>
      <w:numFmt w:val="bullet"/>
      <w:lvlText w:val=""/>
      <w:lvlJc w:val="left"/>
      <w:pPr>
        <w:ind w:left="2238" w:hanging="360"/>
      </w:pPr>
      <w:rPr>
        <w:rFonts w:ascii="Wingdings" w:hAnsi="Wingdings" w:hint="default"/>
      </w:rPr>
    </w:lvl>
    <w:lvl w:ilvl="3" w:tplc="A30C926A" w:tentative="1">
      <w:start w:val="1"/>
      <w:numFmt w:val="bullet"/>
      <w:lvlText w:val=""/>
      <w:lvlJc w:val="left"/>
      <w:pPr>
        <w:ind w:left="2958" w:hanging="360"/>
      </w:pPr>
      <w:rPr>
        <w:rFonts w:ascii="Symbol" w:hAnsi="Symbol" w:hint="default"/>
      </w:rPr>
    </w:lvl>
    <w:lvl w:ilvl="4" w:tplc="8BF84D48" w:tentative="1">
      <w:start w:val="1"/>
      <w:numFmt w:val="bullet"/>
      <w:lvlText w:val="o"/>
      <w:lvlJc w:val="left"/>
      <w:pPr>
        <w:ind w:left="3678" w:hanging="360"/>
      </w:pPr>
      <w:rPr>
        <w:rFonts w:ascii="Courier New" w:hAnsi="Courier New" w:cs="Courier New" w:hint="default"/>
      </w:rPr>
    </w:lvl>
    <w:lvl w:ilvl="5" w:tplc="3B823350" w:tentative="1">
      <w:start w:val="1"/>
      <w:numFmt w:val="bullet"/>
      <w:lvlText w:val=""/>
      <w:lvlJc w:val="left"/>
      <w:pPr>
        <w:ind w:left="4398" w:hanging="360"/>
      </w:pPr>
      <w:rPr>
        <w:rFonts w:ascii="Wingdings" w:hAnsi="Wingdings" w:hint="default"/>
      </w:rPr>
    </w:lvl>
    <w:lvl w:ilvl="6" w:tplc="0688F3A2" w:tentative="1">
      <w:start w:val="1"/>
      <w:numFmt w:val="bullet"/>
      <w:lvlText w:val=""/>
      <w:lvlJc w:val="left"/>
      <w:pPr>
        <w:ind w:left="5118" w:hanging="360"/>
      </w:pPr>
      <w:rPr>
        <w:rFonts w:ascii="Symbol" w:hAnsi="Symbol" w:hint="default"/>
      </w:rPr>
    </w:lvl>
    <w:lvl w:ilvl="7" w:tplc="0E727770" w:tentative="1">
      <w:start w:val="1"/>
      <w:numFmt w:val="bullet"/>
      <w:lvlText w:val="o"/>
      <w:lvlJc w:val="left"/>
      <w:pPr>
        <w:ind w:left="5838" w:hanging="360"/>
      </w:pPr>
      <w:rPr>
        <w:rFonts w:ascii="Courier New" w:hAnsi="Courier New" w:cs="Courier New" w:hint="default"/>
      </w:rPr>
    </w:lvl>
    <w:lvl w:ilvl="8" w:tplc="67602614" w:tentative="1">
      <w:start w:val="1"/>
      <w:numFmt w:val="bullet"/>
      <w:lvlText w:val=""/>
      <w:lvlJc w:val="left"/>
      <w:pPr>
        <w:ind w:left="6558" w:hanging="360"/>
      </w:pPr>
      <w:rPr>
        <w:rFonts w:ascii="Wingdings" w:hAnsi="Wingdings" w:hint="default"/>
      </w:rPr>
    </w:lvl>
  </w:abstractNum>
  <w:abstractNum w:abstractNumId="3" w15:restartNumberingAfterBreak="0">
    <w:nsid w:val="616948D7"/>
    <w:multiLevelType w:val="hybridMultilevel"/>
    <w:tmpl w:val="65FABCD0"/>
    <w:lvl w:ilvl="0" w:tplc="B4B4E52E">
      <w:start w:val="1"/>
      <w:numFmt w:val="bullet"/>
      <w:lvlText w:val=""/>
      <w:lvlJc w:val="left"/>
      <w:pPr>
        <w:ind w:left="720" w:hanging="360"/>
      </w:pPr>
      <w:rPr>
        <w:rFonts w:ascii="Symbol" w:hAnsi="Symbol" w:hint="default"/>
      </w:rPr>
    </w:lvl>
    <w:lvl w:ilvl="1" w:tplc="D6C03E98" w:tentative="1">
      <w:start w:val="1"/>
      <w:numFmt w:val="bullet"/>
      <w:lvlText w:val="o"/>
      <w:lvlJc w:val="left"/>
      <w:pPr>
        <w:ind w:left="1440" w:hanging="360"/>
      </w:pPr>
      <w:rPr>
        <w:rFonts w:ascii="Courier New" w:hAnsi="Courier New" w:cs="Courier New" w:hint="default"/>
      </w:rPr>
    </w:lvl>
    <w:lvl w:ilvl="2" w:tplc="A214851A" w:tentative="1">
      <w:start w:val="1"/>
      <w:numFmt w:val="bullet"/>
      <w:lvlText w:val=""/>
      <w:lvlJc w:val="left"/>
      <w:pPr>
        <w:ind w:left="2160" w:hanging="360"/>
      </w:pPr>
      <w:rPr>
        <w:rFonts w:ascii="Wingdings" w:hAnsi="Wingdings" w:hint="default"/>
      </w:rPr>
    </w:lvl>
    <w:lvl w:ilvl="3" w:tplc="CA3259E8" w:tentative="1">
      <w:start w:val="1"/>
      <w:numFmt w:val="bullet"/>
      <w:lvlText w:val=""/>
      <w:lvlJc w:val="left"/>
      <w:pPr>
        <w:ind w:left="2880" w:hanging="360"/>
      </w:pPr>
      <w:rPr>
        <w:rFonts w:ascii="Symbol" w:hAnsi="Symbol" w:hint="default"/>
      </w:rPr>
    </w:lvl>
    <w:lvl w:ilvl="4" w:tplc="8F7641C0" w:tentative="1">
      <w:start w:val="1"/>
      <w:numFmt w:val="bullet"/>
      <w:lvlText w:val="o"/>
      <w:lvlJc w:val="left"/>
      <w:pPr>
        <w:ind w:left="3600" w:hanging="360"/>
      </w:pPr>
      <w:rPr>
        <w:rFonts w:ascii="Courier New" w:hAnsi="Courier New" w:cs="Courier New" w:hint="default"/>
      </w:rPr>
    </w:lvl>
    <w:lvl w:ilvl="5" w:tplc="C862E924" w:tentative="1">
      <w:start w:val="1"/>
      <w:numFmt w:val="bullet"/>
      <w:lvlText w:val=""/>
      <w:lvlJc w:val="left"/>
      <w:pPr>
        <w:ind w:left="4320" w:hanging="360"/>
      </w:pPr>
      <w:rPr>
        <w:rFonts w:ascii="Wingdings" w:hAnsi="Wingdings" w:hint="default"/>
      </w:rPr>
    </w:lvl>
    <w:lvl w:ilvl="6" w:tplc="A7C4BBB0" w:tentative="1">
      <w:start w:val="1"/>
      <w:numFmt w:val="bullet"/>
      <w:lvlText w:val=""/>
      <w:lvlJc w:val="left"/>
      <w:pPr>
        <w:ind w:left="5040" w:hanging="360"/>
      </w:pPr>
      <w:rPr>
        <w:rFonts w:ascii="Symbol" w:hAnsi="Symbol" w:hint="default"/>
      </w:rPr>
    </w:lvl>
    <w:lvl w:ilvl="7" w:tplc="EDCC5CE4" w:tentative="1">
      <w:start w:val="1"/>
      <w:numFmt w:val="bullet"/>
      <w:lvlText w:val="o"/>
      <w:lvlJc w:val="left"/>
      <w:pPr>
        <w:ind w:left="5760" w:hanging="360"/>
      </w:pPr>
      <w:rPr>
        <w:rFonts w:ascii="Courier New" w:hAnsi="Courier New" w:cs="Courier New" w:hint="default"/>
      </w:rPr>
    </w:lvl>
    <w:lvl w:ilvl="8" w:tplc="F9C213B8" w:tentative="1">
      <w:start w:val="1"/>
      <w:numFmt w:val="bullet"/>
      <w:lvlText w:val=""/>
      <w:lvlJc w:val="left"/>
      <w:pPr>
        <w:ind w:left="6480" w:hanging="360"/>
      </w:pPr>
      <w:rPr>
        <w:rFonts w:ascii="Wingdings" w:hAnsi="Wingdings" w:hint="default"/>
      </w:rPr>
    </w:lvl>
  </w:abstractNum>
  <w:abstractNum w:abstractNumId="4" w15:restartNumberingAfterBreak="0">
    <w:nsid w:val="66A50A88"/>
    <w:multiLevelType w:val="hybridMultilevel"/>
    <w:tmpl w:val="A432AD1C"/>
    <w:lvl w:ilvl="0" w:tplc="BBDEB794">
      <w:numFmt w:val="bullet"/>
      <w:lvlText w:val="-"/>
      <w:lvlJc w:val="left"/>
      <w:pPr>
        <w:ind w:left="438" w:hanging="360"/>
      </w:pPr>
      <w:rPr>
        <w:rFonts w:ascii="Arial" w:eastAsiaTheme="minorHAnsi" w:hAnsi="Arial" w:cs="Arial" w:hint="default"/>
      </w:rPr>
    </w:lvl>
    <w:lvl w:ilvl="1" w:tplc="40AA1046" w:tentative="1">
      <w:start w:val="1"/>
      <w:numFmt w:val="bullet"/>
      <w:lvlText w:val="o"/>
      <w:lvlJc w:val="left"/>
      <w:pPr>
        <w:ind w:left="1158" w:hanging="360"/>
      </w:pPr>
      <w:rPr>
        <w:rFonts w:ascii="Courier New" w:hAnsi="Courier New" w:cs="Courier New" w:hint="default"/>
      </w:rPr>
    </w:lvl>
    <w:lvl w:ilvl="2" w:tplc="A03EE888" w:tentative="1">
      <w:start w:val="1"/>
      <w:numFmt w:val="bullet"/>
      <w:lvlText w:val=""/>
      <w:lvlJc w:val="left"/>
      <w:pPr>
        <w:ind w:left="1878" w:hanging="360"/>
      </w:pPr>
      <w:rPr>
        <w:rFonts w:ascii="Wingdings" w:hAnsi="Wingdings" w:hint="default"/>
      </w:rPr>
    </w:lvl>
    <w:lvl w:ilvl="3" w:tplc="3C863072" w:tentative="1">
      <w:start w:val="1"/>
      <w:numFmt w:val="bullet"/>
      <w:lvlText w:val=""/>
      <w:lvlJc w:val="left"/>
      <w:pPr>
        <w:ind w:left="2598" w:hanging="360"/>
      </w:pPr>
      <w:rPr>
        <w:rFonts w:ascii="Symbol" w:hAnsi="Symbol" w:hint="default"/>
      </w:rPr>
    </w:lvl>
    <w:lvl w:ilvl="4" w:tplc="D540AC1A" w:tentative="1">
      <w:start w:val="1"/>
      <w:numFmt w:val="bullet"/>
      <w:lvlText w:val="o"/>
      <w:lvlJc w:val="left"/>
      <w:pPr>
        <w:ind w:left="3318" w:hanging="360"/>
      </w:pPr>
      <w:rPr>
        <w:rFonts w:ascii="Courier New" w:hAnsi="Courier New" w:cs="Courier New" w:hint="default"/>
      </w:rPr>
    </w:lvl>
    <w:lvl w:ilvl="5" w:tplc="091E2EBC" w:tentative="1">
      <w:start w:val="1"/>
      <w:numFmt w:val="bullet"/>
      <w:lvlText w:val=""/>
      <w:lvlJc w:val="left"/>
      <w:pPr>
        <w:ind w:left="4038" w:hanging="360"/>
      </w:pPr>
      <w:rPr>
        <w:rFonts w:ascii="Wingdings" w:hAnsi="Wingdings" w:hint="default"/>
      </w:rPr>
    </w:lvl>
    <w:lvl w:ilvl="6" w:tplc="3F585DA8" w:tentative="1">
      <w:start w:val="1"/>
      <w:numFmt w:val="bullet"/>
      <w:lvlText w:val=""/>
      <w:lvlJc w:val="left"/>
      <w:pPr>
        <w:ind w:left="4758" w:hanging="360"/>
      </w:pPr>
      <w:rPr>
        <w:rFonts w:ascii="Symbol" w:hAnsi="Symbol" w:hint="default"/>
      </w:rPr>
    </w:lvl>
    <w:lvl w:ilvl="7" w:tplc="60EA8176" w:tentative="1">
      <w:start w:val="1"/>
      <w:numFmt w:val="bullet"/>
      <w:lvlText w:val="o"/>
      <w:lvlJc w:val="left"/>
      <w:pPr>
        <w:ind w:left="5478" w:hanging="360"/>
      </w:pPr>
      <w:rPr>
        <w:rFonts w:ascii="Courier New" w:hAnsi="Courier New" w:cs="Courier New" w:hint="default"/>
      </w:rPr>
    </w:lvl>
    <w:lvl w:ilvl="8" w:tplc="18BA1C54" w:tentative="1">
      <w:start w:val="1"/>
      <w:numFmt w:val="bullet"/>
      <w:lvlText w:val=""/>
      <w:lvlJc w:val="left"/>
      <w:pPr>
        <w:ind w:left="6198" w:hanging="360"/>
      </w:pPr>
      <w:rPr>
        <w:rFonts w:ascii="Wingdings" w:hAnsi="Wingdings" w:hint="default"/>
      </w:rPr>
    </w:lvl>
  </w:abstractNum>
  <w:num w:numId="1" w16cid:durableId="739249726">
    <w:abstractNumId w:val="1"/>
  </w:num>
  <w:num w:numId="2" w16cid:durableId="2063867096">
    <w:abstractNumId w:val="3"/>
  </w:num>
  <w:num w:numId="3" w16cid:durableId="354816956">
    <w:abstractNumId w:val="4"/>
  </w:num>
  <w:num w:numId="4" w16cid:durableId="1289361408">
    <w:abstractNumId w:val="2"/>
  </w:num>
  <w:num w:numId="5" w16cid:durableId="1061515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BD3"/>
    <w:rsid w:val="000017ED"/>
    <w:rsid w:val="000216CE"/>
    <w:rsid w:val="0002451D"/>
    <w:rsid w:val="00026885"/>
    <w:rsid w:val="00040E65"/>
    <w:rsid w:val="00074D82"/>
    <w:rsid w:val="00085272"/>
    <w:rsid w:val="00097704"/>
    <w:rsid w:val="000A597E"/>
    <w:rsid w:val="000A611A"/>
    <w:rsid w:val="000C076D"/>
    <w:rsid w:val="000C1CDD"/>
    <w:rsid w:val="000D5939"/>
    <w:rsid w:val="000E25C5"/>
    <w:rsid w:val="000E28DF"/>
    <w:rsid w:val="000E5CDA"/>
    <w:rsid w:val="000F1E70"/>
    <w:rsid w:val="000F253D"/>
    <w:rsid w:val="000F2BF0"/>
    <w:rsid w:val="000F60A4"/>
    <w:rsid w:val="000F7435"/>
    <w:rsid w:val="00107260"/>
    <w:rsid w:val="00112689"/>
    <w:rsid w:val="00125062"/>
    <w:rsid w:val="0015039F"/>
    <w:rsid w:val="0015289F"/>
    <w:rsid w:val="0015707B"/>
    <w:rsid w:val="00163E1C"/>
    <w:rsid w:val="00163F6A"/>
    <w:rsid w:val="00172AFE"/>
    <w:rsid w:val="00177CD0"/>
    <w:rsid w:val="00191BFD"/>
    <w:rsid w:val="001A6DB4"/>
    <w:rsid w:val="001B1BB7"/>
    <w:rsid w:val="001B35CA"/>
    <w:rsid w:val="001B647F"/>
    <w:rsid w:val="001C0F65"/>
    <w:rsid w:val="001C266E"/>
    <w:rsid w:val="001C76A4"/>
    <w:rsid w:val="001D0A3A"/>
    <w:rsid w:val="001D0A3C"/>
    <w:rsid w:val="001E2E5D"/>
    <w:rsid w:val="001E7D9D"/>
    <w:rsid w:val="001F6FD1"/>
    <w:rsid w:val="00204F18"/>
    <w:rsid w:val="00211293"/>
    <w:rsid w:val="00212881"/>
    <w:rsid w:val="002203CA"/>
    <w:rsid w:val="0023681F"/>
    <w:rsid w:val="00250813"/>
    <w:rsid w:val="00256FDB"/>
    <w:rsid w:val="00274258"/>
    <w:rsid w:val="0029270A"/>
    <w:rsid w:val="002A01F2"/>
    <w:rsid w:val="002A2089"/>
    <w:rsid w:val="002B78BF"/>
    <w:rsid w:val="002C2C11"/>
    <w:rsid w:val="002C4EFA"/>
    <w:rsid w:val="002C6C6C"/>
    <w:rsid w:val="002D0A9C"/>
    <w:rsid w:val="002D16DD"/>
    <w:rsid w:val="002D1E89"/>
    <w:rsid w:val="002D62D7"/>
    <w:rsid w:val="002D6B69"/>
    <w:rsid w:val="002D72F1"/>
    <w:rsid w:val="002E2506"/>
    <w:rsid w:val="002E3131"/>
    <w:rsid w:val="002F3664"/>
    <w:rsid w:val="002F3774"/>
    <w:rsid w:val="003015BD"/>
    <w:rsid w:val="00302025"/>
    <w:rsid w:val="00310F56"/>
    <w:rsid w:val="00316D5C"/>
    <w:rsid w:val="00322D9C"/>
    <w:rsid w:val="00324A4B"/>
    <w:rsid w:val="00340EC1"/>
    <w:rsid w:val="00347165"/>
    <w:rsid w:val="00360A24"/>
    <w:rsid w:val="0038199E"/>
    <w:rsid w:val="00390E13"/>
    <w:rsid w:val="003A18A3"/>
    <w:rsid w:val="003A719C"/>
    <w:rsid w:val="003A7CEF"/>
    <w:rsid w:val="003B06C5"/>
    <w:rsid w:val="003B15E7"/>
    <w:rsid w:val="003D19D4"/>
    <w:rsid w:val="003D1F9D"/>
    <w:rsid w:val="003D2176"/>
    <w:rsid w:val="003D4BF8"/>
    <w:rsid w:val="003E19CC"/>
    <w:rsid w:val="003E2099"/>
    <w:rsid w:val="003E6D2F"/>
    <w:rsid w:val="003F65A2"/>
    <w:rsid w:val="00402FC2"/>
    <w:rsid w:val="004108D6"/>
    <w:rsid w:val="00410B2E"/>
    <w:rsid w:val="00414F3E"/>
    <w:rsid w:val="00423737"/>
    <w:rsid w:val="0042487E"/>
    <w:rsid w:val="00432D54"/>
    <w:rsid w:val="004477DB"/>
    <w:rsid w:val="0045592A"/>
    <w:rsid w:val="00474659"/>
    <w:rsid w:val="004747C0"/>
    <w:rsid w:val="00476F84"/>
    <w:rsid w:val="004774B6"/>
    <w:rsid w:val="00477EAE"/>
    <w:rsid w:val="004863FF"/>
    <w:rsid w:val="00494952"/>
    <w:rsid w:val="00496B45"/>
    <w:rsid w:val="00497029"/>
    <w:rsid w:val="004A1F7E"/>
    <w:rsid w:val="004A6612"/>
    <w:rsid w:val="004B1D9C"/>
    <w:rsid w:val="004B5804"/>
    <w:rsid w:val="004C24E1"/>
    <w:rsid w:val="004C653F"/>
    <w:rsid w:val="004D24EC"/>
    <w:rsid w:val="004D5E3D"/>
    <w:rsid w:val="004E1F8A"/>
    <w:rsid w:val="004E5280"/>
    <w:rsid w:val="004F39CB"/>
    <w:rsid w:val="004F6AF4"/>
    <w:rsid w:val="00500427"/>
    <w:rsid w:val="0050325C"/>
    <w:rsid w:val="00506A8A"/>
    <w:rsid w:val="0051324A"/>
    <w:rsid w:val="00514497"/>
    <w:rsid w:val="005176D3"/>
    <w:rsid w:val="005227BF"/>
    <w:rsid w:val="00541A22"/>
    <w:rsid w:val="00547059"/>
    <w:rsid w:val="005522E3"/>
    <w:rsid w:val="00574F7D"/>
    <w:rsid w:val="00575733"/>
    <w:rsid w:val="005773E3"/>
    <w:rsid w:val="00580743"/>
    <w:rsid w:val="00583714"/>
    <w:rsid w:val="00592C14"/>
    <w:rsid w:val="005A32B0"/>
    <w:rsid w:val="005B1880"/>
    <w:rsid w:val="005C56CA"/>
    <w:rsid w:val="005C5805"/>
    <w:rsid w:val="005D1B2D"/>
    <w:rsid w:val="005E0E27"/>
    <w:rsid w:val="005F6B4F"/>
    <w:rsid w:val="006032FB"/>
    <w:rsid w:val="006121D8"/>
    <w:rsid w:val="006152D0"/>
    <w:rsid w:val="00616CB1"/>
    <w:rsid w:val="006261AA"/>
    <w:rsid w:val="006300DC"/>
    <w:rsid w:val="00631C6C"/>
    <w:rsid w:val="00635CF3"/>
    <w:rsid w:val="00637960"/>
    <w:rsid w:val="00644AC5"/>
    <w:rsid w:val="00670088"/>
    <w:rsid w:val="006766C8"/>
    <w:rsid w:val="00686494"/>
    <w:rsid w:val="00690CD7"/>
    <w:rsid w:val="0069147A"/>
    <w:rsid w:val="00695ACF"/>
    <w:rsid w:val="006B7642"/>
    <w:rsid w:val="006C073E"/>
    <w:rsid w:val="006D544C"/>
    <w:rsid w:val="006E0E6C"/>
    <w:rsid w:val="006E1AA2"/>
    <w:rsid w:val="006F7968"/>
    <w:rsid w:val="0070774B"/>
    <w:rsid w:val="00707B9A"/>
    <w:rsid w:val="00714E43"/>
    <w:rsid w:val="00715952"/>
    <w:rsid w:val="00715986"/>
    <w:rsid w:val="00727BC2"/>
    <w:rsid w:val="0073439C"/>
    <w:rsid w:val="007368F4"/>
    <w:rsid w:val="00736C69"/>
    <w:rsid w:val="007374B5"/>
    <w:rsid w:val="0074504A"/>
    <w:rsid w:val="007564B4"/>
    <w:rsid w:val="0076297D"/>
    <w:rsid w:val="00763827"/>
    <w:rsid w:val="0076554A"/>
    <w:rsid w:val="007765C5"/>
    <w:rsid w:val="00786EA9"/>
    <w:rsid w:val="00794312"/>
    <w:rsid w:val="007A1759"/>
    <w:rsid w:val="007A2F08"/>
    <w:rsid w:val="007A375A"/>
    <w:rsid w:val="007B6318"/>
    <w:rsid w:val="007C13CC"/>
    <w:rsid w:val="007C7BAD"/>
    <w:rsid w:val="007D2BC6"/>
    <w:rsid w:val="007E1E60"/>
    <w:rsid w:val="007E2434"/>
    <w:rsid w:val="007E2623"/>
    <w:rsid w:val="008159DE"/>
    <w:rsid w:val="00835B53"/>
    <w:rsid w:val="00845ECC"/>
    <w:rsid w:val="008532AD"/>
    <w:rsid w:val="008548C5"/>
    <w:rsid w:val="00856F1F"/>
    <w:rsid w:val="00874588"/>
    <w:rsid w:val="0087535C"/>
    <w:rsid w:val="008A2888"/>
    <w:rsid w:val="008A4401"/>
    <w:rsid w:val="008A74D0"/>
    <w:rsid w:val="008B743D"/>
    <w:rsid w:val="008C275F"/>
    <w:rsid w:val="008C66C8"/>
    <w:rsid w:val="008E33EB"/>
    <w:rsid w:val="008F4E02"/>
    <w:rsid w:val="008F609D"/>
    <w:rsid w:val="00912A9C"/>
    <w:rsid w:val="00917921"/>
    <w:rsid w:val="009333FC"/>
    <w:rsid w:val="009545A0"/>
    <w:rsid w:val="00960036"/>
    <w:rsid w:val="00963FE8"/>
    <w:rsid w:val="00966B68"/>
    <w:rsid w:val="00972180"/>
    <w:rsid w:val="00974E5B"/>
    <w:rsid w:val="009847DA"/>
    <w:rsid w:val="00987977"/>
    <w:rsid w:val="00990637"/>
    <w:rsid w:val="00991B98"/>
    <w:rsid w:val="00992B08"/>
    <w:rsid w:val="00996109"/>
    <w:rsid w:val="009A4E4C"/>
    <w:rsid w:val="009B3B57"/>
    <w:rsid w:val="009C56A6"/>
    <w:rsid w:val="009C7F4F"/>
    <w:rsid w:val="009D1203"/>
    <w:rsid w:val="009D6D69"/>
    <w:rsid w:val="009E2C56"/>
    <w:rsid w:val="009E7643"/>
    <w:rsid w:val="009F19BE"/>
    <w:rsid w:val="00A0345C"/>
    <w:rsid w:val="00A202F6"/>
    <w:rsid w:val="00A22F36"/>
    <w:rsid w:val="00A25435"/>
    <w:rsid w:val="00A25463"/>
    <w:rsid w:val="00A3014F"/>
    <w:rsid w:val="00A34E50"/>
    <w:rsid w:val="00A63009"/>
    <w:rsid w:val="00A65977"/>
    <w:rsid w:val="00A8284F"/>
    <w:rsid w:val="00AB6889"/>
    <w:rsid w:val="00AC0EA9"/>
    <w:rsid w:val="00AC4BC0"/>
    <w:rsid w:val="00AD0A78"/>
    <w:rsid w:val="00AD3088"/>
    <w:rsid w:val="00AD36D6"/>
    <w:rsid w:val="00AD3847"/>
    <w:rsid w:val="00AD5492"/>
    <w:rsid w:val="00AD5F44"/>
    <w:rsid w:val="00AD6D4B"/>
    <w:rsid w:val="00AF5424"/>
    <w:rsid w:val="00AF5DDC"/>
    <w:rsid w:val="00B0532D"/>
    <w:rsid w:val="00B05A01"/>
    <w:rsid w:val="00B10038"/>
    <w:rsid w:val="00B16908"/>
    <w:rsid w:val="00B205C3"/>
    <w:rsid w:val="00B30983"/>
    <w:rsid w:val="00B30BDA"/>
    <w:rsid w:val="00B30F90"/>
    <w:rsid w:val="00B446FB"/>
    <w:rsid w:val="00B45C4F"/>
    <w:rsid w:val="00B47531"/>
    <w:rsid w:val="00B52EEC"/>
    <w:rsid w:val="00B6162A"/>
    <w:rsid w:val="00B7046A"/>
    <w:rsid w:val="00B7063E"/>
    <w:rsid w:val="00B72485"/>
    <w:rsid w:val="00B748FD"/>
    <w:rsid w:val="00B80CC9"/>
    <w:rsid w:val="00B9406A"/>
    <w:rsid w:val="00B95E7D"/>
    <w:rsid w:val="00B96E61"/>
    <w:rsid w:val="00BA1B10"/>
    <w:rsid w:val="00BA2D1C"/>
    <w:rsid w:val="00BA5D95"/>
    <w:rsid w:val="00BB3426"/>
    <w:rsid w:val="00BC343B"/>
    <w:rsid w:val="00BC7586"/>
    <w:rsid w:val="00BC797D"/>
    <w:rsid w:val="00BD4BD3"/>
    <w:rsid w:val="00BD6A7E"/>
    <w:rsid w:val="00BD7992"/>
    <w:rsid w:val="00BE2CDB"/>
    <w:rsid w:val="00BF6A59"/>
    <w:rsid w:val="00C06D19"/>
    <w:rsid w:val="00C126FF"/>
    <w:rsid w:val="00C229B0"/>
    <w:rsid w:val="00C2737B"/>
    <w:rsid w:val="00C32151"/>
    <w:rsid w:val="00C5155F"/>
    <w:rsid w:val="00C5198C"/>
    <w:rsid w:val="00C525A9"/>
    <w:rsid w:val="00C64464"/>
    <w:rsid w:val="00C742D4"/>
    <w:rsid w:val="00C76581"/>
    <w:rsid w:val="00C910DC"/>
    <w:rsid w:val="00C95400"/>
    <w:rsid w:val="00CB3575"/>
    <w:rsid w:val="00CC1E8D"/>
    <w:rsid w:val="00CE0908"/>
    <w:rsid w:val="00CF4A7C"/>
    <w:rsid w:val="00CF593E"/>
    <w:rsid w:val="00D11BC7"/>
    <w:rsid w:val="00D13ECC"/>
    <w:rsid w:val="00D211A7"/>
    <w:rsid w:val="00D34D85"/>
    <w:rsid w:val="00D40E57"/>
    <w:rsid w:val="00D5086F"/>
    <w:rsid w:val="00D521D3"/>
    <w:rsid w:val="00D71F81"/>
    <w:rsid w:val="00D75632"/>
    <w:rsid w:val="00D759E9"/>
    <w:rsid w:val="00D779EE"/>
    <w:rsid w:val="00D808E9"/>
    <w:rsid w:val="00D827CE"/>
    <w:rsid w:val="00D848CF"/>
    <w:rsid w:val="00D84F3A"/>
    <w:rsid w:val="00D85595"/>
    <w:rsid w:val="00D9749E"/>
    <w:rsid w:val="00DA4B73"/>
    <w:rsid w:val="00DE57F7"/>
    <w:rsid w:val="00E12CD8"/>
    <w:rsid w:val="00E15135"/>
    <w:rsid w:val="00E15523"/>
    <w:rsid w:val="00E23103"/>
    <w:rsid w:val="00E2608E"/>
    <w:rsid w:val="00E32DBB"/>
    <w:rsid w:val="00E36A2E"/>
    <w:rsid w:val="00E414A4"/>
    <w:rsid w:val="00E45774"/>
    <w:rsid w:val="00E51CCF"/>
    <w:rsid w:val="00E60C4A"/>
    <w:rsid w:val="00E614E0"/>
    <w:rsid w:val="00E71885"/>
    <w:rsid w:val="00E71C4C"/>
    <w:rsid w:val="00E7332F"/>
    <w:rsid w:val="00E73CDC"/>
    <w:rsid w:val="00EA1E5D"/>
    <w:rsid w:val="00EB54C1"/>
    <w:rsid w:val="00EC2A22"/>
    <w:rsid w:val="00EC7980"/>
    <w:rsid w:val="00EE050A"/>
    <w:rsid w:val="00EE30B4"/>
    <w:rsid w:val="00EE4151"/>
    <w:rsid w:val="00EE65E6"/>
    <w:rsid w:val="00EF04C2"/>
    <w:rsid w:val="00EF1ABC"/>
    <w:rsid w:val="00EF4117"/>
    <w:rsid w:val="00F130EF"/>
    <w:rsid w:val="00F14C2D"/>
    <w:rsid w:val="00F16235"/>
    <w:rsid w:val="00F27D65"/>
    <w:rsid w:val="00F33EAD"/>
    <w:rsid w:val="00F35A75"/>
    <w:rsid w:val="00F35D24"/>
    <w:rsid w:val="00F36422"/>
    <w:rsid w:val="00F46310"/>
    <w:rsid w:val="00F536BA"/>
    <w:rsid w:val="00F54A59"/>
    <w:rsid w:val="00F76BBC"/>
    <w:rsid w:val="00F82872"/>
    <w:rsid w:val="00F83BBC"/>
    <w:rsid w:val="00F83CAC"/>
    <w:rsid w:val="00F87838"/>
    <w:rsid w:val="00FA5F8A"/>
    <w:rsid w:val="00FB2FB7"/>
    <w:rsid w:val="00FB4844"/>
    <w:rsid w:val="00FB64B6"/>
    <w:rsid w:val="00FB7E19"/>
    <w:rsid w:val="00FC04B8"/>
    <w:rsid w:val="00FD1F58"/>
    <w:rsid w:val="00FD3C5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C26F3"/>
  <w15:docId w15:val="{F2D42DE8-FEE7-447C-A4F0-12EF51E49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52EEC"/>
    <w:rPr>
      <w:color w:val="0563C1" w:themeColor="hyperlink"/>
      <w:u w:val="single"/>
    </w:rPr>
  </w:style>
  <w:style w:type="character" w:customStyle="1" w:styleId="UnresolvedMention1">
    <w:name w:val="Unresolved Mention1"/>
    <w:basedOn w:val="VarsaylanParagrafYazTipi"/>
    <w:uiPriority w:val="99"/>
    <w:semiHidden/>
    <w:unhideWhenUsed/>
    <w:rsid w:val="00B52EEC"/>
    <w:rPr>
      <w:color w:val="605E5C"/>
      <w:shd w:val="clear" w:color="auto" w:fill="E1DFDD"/>
    </w:rPr>
  </w:style>
  <w:style w:type="paragraph" w:styleId="ListeParagraf">
    <w:name w:val="List Paragraph"/>
    <w:basedOn w:val="Normal"/>
    <w:uiPriority w:val="34"/>
    <w:qFormat/>
    <w:rsid w:val="0087535C"/>
    <w:pPr>
      <w:ind w:left="720"/>
      <w:contextualSpacing/>
    </w:pPr>
  </w:style>
  <w:style w:type="paragraph" w:styleId="NormalWeb">
    <w:name w:val="Normal (Web)"/>
    <w:basedOn w:val="Normal"/>
    <w:uiPriority w:val="99"/>
    <w:semiHidden/>
    <w:unhideWhenUsed/>
    <w:rsid w:val="006E0E6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E0E6C"/>
    <w:rPr>
      <w:b/>
      <w:bCs/>
    </w:rPr>
  </w:style>
  <w:style w:type="paragraph" w:styleId="stBilgi">
    <w:name w:val="header"/>
    <w:basedOn w:val="Normal"/>
    <w:link w:val="stBilgiChar"/>
    <w:uiPriority w:val="99"/>
    <w:unhideWhenUsed/>
    <w:rsid w:val="00C7658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76581"/>
  </w:style>
  <w:style w:type="paragraph" w:styleId="AltBilgi">
    <w:name w:val="footer"/>
    <w:basedOn w:val="Normal"/>
    <w:link w:val="AltBilgiChar"/>
    <w:uiPriority w:val="99"/>
    <w:unhideWhenUsed/>
    <w:rsid w:val="00C7658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76581"/>
  </w:style>
  <w:style w:type="character" w:styleId="zmlenmeyenBahsetme">
    <w:name w:val="Unresolved Mention"/>
    <w:basedOn w:val="VarsaylanParagrafYazTipi"/>
    <w:uiPriority w:val="99"/>
    <w:semiHidden/>
    <w:unhideWhenUsed/>
    <w:rsid w:val="00B05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0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plication%20and%20Entry%20Requirements%20for%20the%20Graduate%20Programs%20of%20the%20KTU%20Health%20Sciences%20Institut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tu.edu.tr/dosyalar/sabe_a3c46.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ktu.edu.tr/dosyalar/sabe_92655.pdf" TargetMode="External"/><Relationship Id="rId4" Type="http://schemas.openxmlformats.org/officeDocument/2006/relationships/webSettings" Target="webSettings.xml"/><Relationship Id="rId9" Type="http://schemas.openxmlformats.org/officeDocument/2006/relationships/hyperlink" Target="https://www.ktu.edu.tr/dosyalar/sabe_a3c4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845</Words>
  <Characters>4819</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ERSAN KALAY</dc:creator>
  <cp:lastModifiedBy>ERSAN KALAY</cp:lastModifiedBy>
  <cp:revision>16</cp:revision>
  <dcterms:created xsi:type="dcterms:W3CDTF">2021-12-01T06:51:00Z</dcterms:created>
  <dcterms:modified xsi:type="dcterms:W3CDTF">2022-06-05T09:08:00Z</dcterms:modified>
</cp:coreProperties>
</file>