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0C" w:rsidRPr="00CB1F0C" w:rsidRDefault="00CB1F0C" w:rsidP="00CB1F0C">
      <w:pPr>
        <w:shd w:val="clear" w:color="auto" w:fill="FFFFFF"/>
        <w:spacing w:after="100" w:afterAutospacing="1" w:line="240" w:lineRule="auto"/>
        <w:rPr>
          <w:rFonts w:ascii="HurmeRegular" w:eastAsia="Times New Roman" w:hAnsi="HurmeRegular" w:cs="Times New Roman"/>
          <w:sz w:val="24"/>
          <w:szCs w:val="24"/>
          <w:lang w:eastAsia="tr-TR"/>
        </w:rPr>
      </w:pPr>
      <w:r w:rsidRPr="00CB1F0C">
        <w:rPr>
          <w:rFonts w:ascii="HurmeRegular" w:eastAsia="Times New Roman" w:hAnsi="HurmeRegular" w:cs="Times New Roman"/>
          <w:b/>
          <w:bCs/>
          <w:sz w:val="21"/>
          <w:szCs w:val="21"/>
          <w:lang w:eastAsia="tr-TR"/>
        </w:rPr>
        <w:t>İç Paydaş Listesi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Kayıtlı Öğrenciler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Anabilim Dalı Başkanları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Programlarda Görevli Öğretim Üyeleri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İdari Personel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Rektörlük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Rektörlüğe Bağlı Daire Başkanlıkları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KTÜ Bilimsel Araştırma Projeleri Koordinasyon Birimi (KTÜ-BAP)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KTÜ Uzaktan Eğitim Uygulama ve Araştırma Merkezi (KTÜ-UZEM)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KTÜ Çevre Sorunları Uygulama ve Araştırma Merkezi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KTÜ Kadın Çalışmaları Uygulama ve Araştırma Merkezi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Teknoloji Transfer Ofisi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KTÜ- Mimarlık Dekanlığı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4"/>
          <w:szCs w:val="24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KTÜ-Fen Bilimleri Enstitüsü</w:t>
      </w:r>
    </w:p>
    <w:p w:rsidR="00CB1F0C" w:rsidRPr="00CB1F0C" w:rsidRDefault="00CB1F0C" w:rsidP="00CB1F0C">
      <w:pPr>
        <w:shd w:val="clear" w:color="auto" w:fill="FFFFFF"/>
        <w:spacing w:after="100" w:afterAutospacing="1" w:line="240" w:lineRule="auto"/>
        <w:rPr>
          <w:rFonts w:ascii="HurmeRegular" w:eastAsia="Times New Roman" w:hAnsi="HurmeRegular" w:cs="Times New Roman"/>
          <w:sz w:val="24"/>
          <w:szCs w:val="24"/>
          <w:lang w:eastAsia="tr-TR"/>
        </w:rPr>
      </w:pPr>
      <w:r w:rsidRPr="00CB1F0C">
        <w:rPr>
          <w:rFonts w:ascii="HurmeRegular" w:eastAsia="Times New Roman" w:hAnsi="HurmeRegular" w:cs="Times New Roman"/>
          <w:b/>
          <w:bCs/>
          <w:sz w:val="21"/>
          <w:szCs w:val="21"/>
          <w:lang w:eastAsia="tr-TR"/>
        </w:rPr>
        <w:t>Dış Paydaş Listesi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Yükseköğretim Kurulu (YÖK)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Yükseköğretim Kalite Kurulu (YÖKAK)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Türkiye Bilimsel ve Teknolojik Araştırma Kurumu (TÜBİTAK)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Meslek Örgütleri</w:t>
      </w:r>
    </w:p>
    <w:p w:rsidR="00CB1F0C" w:rsidRP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Doğu Karadeniz Projesi Bölge Kalkınma İdaresi</w:t>
      </w: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br/>
        <w:t>Başkanlığı (DOKAP)</w:t>
      </w:r>
    </w:p>
    <w:p w:rsid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  <w:r w:rsidRPr="00CB1F0C"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Doğu Karadeniz Kalkınma Ajansı (DOKA)</w:t>
      </w:r>
    </w:p>
    <w:p w:rsid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Belediyeler</w:t>
      </w:r>
    </w:p>
    <w:p w:rsidR="00CB1F0C" w:rsidRDefault="00CB1F0C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 xml:space="preserve">Kamu Kurumları </w:t>
      </w:r>
    </w:p>
    <w:p w:rsidR="001D608F" w:rsidRDefault="001D608F" w:rsidP="00CB1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  <w:r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  <w:t>KTÜ ŞBP Mezunları</w:t>
      </w:r>
    </w:p>
    <w:p w:rsidR="00CB1F0C" w:rsidRDefault="00CB1F0C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p w:rsidR="00036EF5" w:rsidRDefault="00036EF5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p w:rsidR="00036EF5" w:rsidRDefault="00036EF5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p w:rsidR="00036EF5" w:rsidRDefault="00036EF5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p w:rsidR="00036EF5" w:rsidRDefault="00036EF5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p w:rsidR="00036EF5" w:rsidRDefault="00036EF5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p w:rsidR="00036EF5" w:rsidRDefault="00036EF5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p w:rsidR="00036EF5" w:rsidRDefault="00036EF5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p w:rsidR="00036EF5" w:rsidRDefault="00036EF5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p w:rsidR="00036EF5" w:rsidRDefault="00036EF5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p w:rsidR="00036EF5" w:rsidRDefault="00036EF5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p w:rsidR="00AE69F3" w:rsidRDefault="00AE69F3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1134"/>
        <w:gridCol w:w="1276"/>
        <w:gridCol w:w="1559"/>
        <w:gridCol w:w="1979"/>
      </w:tblGrid>
      <w:tr w:rsidR="00036EF5" w:rsidRPr="00036EF5" w:rsidTr="00036EF5">
        <w:tc>
          <w:tcPr>
            <w:tcW w:w="1129" w:type="dxa"/>
          </w:tcPr>
          <w:p w:rsidR="00AE69F3" w:rsidRP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</w:pPr>
            <w:bookmarkStart w:id="0" w:name="_GoBack"/>
            <w:r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  <w:lastRenderedPageBreak/>
              <w:t>Paydaş analitik</w:t>
            </w:r>
          </w:p>
        </w:tc>
        <w:tc>
          <w:tcPr>
            <w:tcW w:w="993" w:type="dxa"/>
          </w:tcPr>
          <w:p w:rsidR="00AE69F3" w:rsidRPr="00036EF5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</w:pPr>
            <w:r w:rsidRPr="00036EF5"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  <w:t>Görüşme sıklığı</w:t>
            </w:r>
          </w:p>
        </w:tc>
        <w:tc>
          <w:tcPr>
            <w:tcW w:w="992" w:type="dxa"/>
          </w:tcPr>
          <w:p w:rsidR="00AE69F3" w:rsidRPr="00036EF5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</w:pPr>
            <w:r w:rsidRPr="00036EF5"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  <w:t>Dolaylı / doğrudan</w:t>
            </w:r>
          </w:p>
        </w:tc>
        <w:tc>
          <w:tcPr>
            <w:tcW w:w="1134" w:type="dxa"/>
          </w:tcPr>
          <w:p w:rsidR="00AE69F3" w:rsidRPr="00036EF5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</w:pPr>
            <w:r w:rsidRPr="00036EF5"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  <w:t>Bireysel / toplu / grup halinde</w:t>
            </w:r>
          </w:p>
        </w:tc>
        <w:tc>
          <w:tcPr>
            <w:tcW w:w="1276" w:type="dxa"/>
          </w:tcPr>
          <w:p w:rsidR="00AE69F3" w:rsidRPr="00036EF5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</w:pPr>
            <w:r w:rsidRPr="00036EF5"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  <w:t xml:space="preserve">Sürekli / proje temelli / etkinlik temelli / dönemlik </w:t>
            </w:r>
          </w:p>
        </w:tc>
        <w:tc>
          <w:tcPr>
            <w:tcW w:w="1559" w:type="dxa"/>
          </w:tcPr>
          <w:p w:rsidR="00AE69F3" w:rsidRPr="00036EF5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</w:pPr>
            <w:r w:rsidRPr="00036EF5"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  <w:t xml:space="preserve">Amaç: akademik çalışma / mesleki çalışma / sosyal ilişkiler / kurumsal organizasyon / </w:t>
            </w:r>
          </w:p>
        </w:tc>
        <w:tc>
          <w:tcPr>
            <w:tcW w:w="1979" w:type="dxa"/>
          </w:tcPr>
          <w:p w:rsidR="00AE69F3" w:rsidRP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</w:pPr>
            <w:proofErr w:type="gramStart"/>
            <w:r w:rsidRPr="00036EF5">
              <w:rPr>
                <w:rFonts w:ascii="HurmeRegular" w:eastAsia="Times New Roman" w:hAnsi="HurmeRegular" w:cs="Times New Roman"/>
                <w:b/>
                <w:color w:val="212529"/>
                <w:sz w:val="18"/>
                <w:szCs w:val="18"/>
                <w:lang w:eastAsia="tr-TR"/>
              </w:rPr>
              <w:t>açıklama</w:t>
            </w:r>
            <w:proofErr w:type="gramEnd"/>
          </w:p>
        </w:tc>
      </w:tr>
      <w:tr w:rsidR="00036EF5" w:rsidTr="00036EF5">
        <w:tc>
          <w:tcPr>
            <w:tcW w:w="1129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ŞPO</w:t>
            </w:r>
          </w:p>
        </w:tc>
        <w:tc>
          <w:tcPr>
            <w:tcW w:w="993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En az 3 ayda bir </w:t>
            </w:r>
          </w:p>
        </w:tc>
        <w:tc>
          <w:tcPr>
            <w:tcW w:w="992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Doğrudan</w:t>
            </w:r>
          </w:p>
        </w:tc>
        <w:tc>
          <w:tcPr>
            <w:tcW w:w="1134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Bireysel / toplu / grup halinde</w:t>
            </w:r>
          </w:p>
        </w:tc>
        <w:tc>
          <w:tcPr>
            <w:tcW w:w="1276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Dönemlik / etkinlik temelli </w:t>
            </w:r>
          </w:p>
        </w:tc>
        <w:tc>
          <w:tcPr>
            <w:tcW w:w="1559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Kurumsal organizasyon</w:t>
            </w:r>
          </w:p>
        </w:tc>
        <w:tc>
          <w:tcPr>
            <w:tcW w:w="1979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Her dönem başında ortak çalışmaları programlamak için</w:t>
            </w:r>
          </w:p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Her dönem sonunda mezuniyet töreninde</w:t>
            </w:r>
          </w:p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Çeşitli akademik seminer, panel, </w:t>
            </w:r>
            <w:proofErr w:type="spellStart"/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sempozyumalrda</w:t>
            </w:r>
            <w:proofErr w:type="spellEnd"/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 davet edilerek</w:t>
            </w:r>
          </w:p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2 yılda bir genel kurula katılarak</w:t>
            </w:r>
          </w:p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Yönetim kurulu ve komisyonlarında görev alarak</w:t>
            </w:r>
          </w:p>
        </w:tc>
      </w:tr>
      <w:tr w:rsidR="00036EF5" w:rsidTr="00036EF5">
        <w:tc>
          <w:tcPr>
            <w:tcW w:w="1129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Mimarlar Odası</w:t>
            </w:r>
          </w:p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H</w:t>
            </w:r>
            <w:r w:rsidR="00036EF5"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arita </w:t>
            </w:r>
            <w:proofErr w:type="spellStart"/>
            <w:r w:rsidR="00036EF5"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müh</w:t>
            </w:r>
            <w:proofErr w:type="spellEnd"/>
            <w:r w:rsidR="00036EF5"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 odası</w:t>
            </w:r>
          </w:p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Jeoloji </w:t>
            </w:r>
            <w:proofErr w:type="spellStart"/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müh</w:t>
            </w:r>
            <w:proofErr w:type="spellEnd"/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 odası</w:t>
            </w:r>
          </w:p>
        </w:tc>
        <w:tc>
          <w:tcPr>
            <w:tcW w:w="993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Nadir </w:t>
            </w:r>
          </w:p>
        </w:tc>
        <w:tc>
          <w:tcPr>
            <w:tcW w:w="992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Dolaylı</w:t>
            </w:r>
          </w:p>
        </w:tc>
        <w:tc>
          <w:tcPr>
            <w:tcW w:w="1134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Bireysel</w:t>
            </w:r>
          </w:p>
        </w:tc>
        <w:tc>
          <w:tcPr>
            <w:tcW w:w="1276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Etkinlik temelli</w:t>
            </w:r>
          </w:p>
        </w:tc>
        <w:tc>
          <w:tcPr>
            <w:tcW w:w="1559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Kurumsal organizasyon / mesleki çalışma </w:t>
            </w:r>
          </w:p>
        </w:tc>
        <w:tc>
          <w:tcPr>
            <w:tcW w:w="1979" w:type="dxa"/>
          </w:tcPr>
          <w:p w:rsidR="00AE69F3" w:rsidRDefault="00AE69F3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Davet üzerine</w:t>
            </w:r>
          </w:p>
        </w:tc>
      </w:tr>
      <w:tr w:rsidR="00036EF5" w:rsidTr="00036EF5">
        <w:tc>
          <w:tcPr>
            <w:tcW w:w="1129" w:type="dxa"/>
          </w:tcPr>
          <w:p w:rsidR="00AE69F3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Çevre ve Şehircilik Bakanlığı</w:t>
            </w:r>
          </w:p>
        </w:tc>
        <w:tc>
          <w:tcPr>
            <w:tcW w:w="993" w:type="dxa"/>
          </w:tcPr>
          <w:p w:rsidR="00AE69F3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Nadir</w:t>
            </w:r>
          </w:p>
        </w:tc>
        <w:tc>
          <w:tcPr>
            <w:tcW w:w="992" w:type="dxa"/>
          </w:tcPr>
          <w:p w:rsidR="00AE69F3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Dolaylı</w:t>
            </w:r>
          </w:p>
        </w:tc>
        <w:tc>
          <w:tcPr>
            <w:tcW w:w="1134" w:type="dxa"/>
          </w:tcPr>
          <w:p w:rsidR="00AE69F3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Bireysel / grup halinde </w:t>
            </w:r>
          </w:p>
        </w:tc>
        <w:tc>
          <w:tcPr>
            <w:tcW w:w="1276" w:type="dxa"/>
          </w:tcPr>
          <w:p w:rsidR="00AE69F3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Proje temelli</w:t>
            </w:r>
          </w:p>
        </w:tc>
        <w:tc>
          <w:tcPr>
            <w:tcW w:w="1559" w:type="dxa"/>
          </w:tcPr>
          <w:p w:rsidR="00AE69F3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Akademik çalışma /</w:t>
            </w: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Proje temelli</w:t>
            </w:r>
          </w:p>
        </w:tc>
        <w:tc>
          <w:tcPr>
            <w:tcW w:w="1979" w:type="dxa"/>
          </w:tcPr>
          <w:p w:rsidR="00AE69F3" w:rsidRDefault="00036EF5" w:rsidP="00036EF5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Mevzuat değişikliği önerilerine bireysel veya bölüm kurulu olarak görüş vermek / </w:t>
            </w:r>
          </w:p>
        </w:tc>
      </w:tr>
      <w:tr w:rsidR="00036EF5" w:rsidTr="00036EF5">
        <w:tc>
          <w:tcPr>
            <w:tcW w:w="1129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Trabzon Belediyeleri</w:t>
            </w:r>
          </w:p>
        </w:tc>
        <w:tc>
          <w:tcPr>
            <w:tcW w:w="993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3-6 ayda bir </w:t>
            </w:r>
          </w:p>
        </w:tc>
        <w:tc>
          <w:tcPr>
            <w:tcW w:w="992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Dolaylı</w:t>
            </w:r>
          </w:p>
        </w:tc>
        <w:tc>
          <w:tcPr>
            <w:tcW w:w="1134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Bireysel / grup halinde</w:t>
            </w:r>
          </w:p>
        </w:tc>
        <w:tc>
          <w:tcPr>
            <w:tcW w:w="1276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proofErr w:type="gramStart"/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proje</w:t>
            </w:r>
            <w:proofErr w:type="gramEnd"/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 temelli</w:t>
            </w:r>
          </w:p>
        </w:tc>
        <w:tc>
          <w:tcPr>
            <w:tcW w:w="1559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Akademik çalışma / kurumsal organizasyon</w:t>
            </w:r>
          </w:p>
        </w:tc>
        <w:tc>
          <w:tcPr>
            <w:tcW w:w="1979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Sergilere davet; </w:t>
            </w:r>
            <w:proofErr w:type="gramStart"/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sempozyum</w:t>
            </w:r>
            <w:proofErr w:type="gramEnd"/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 ve panellere davetli konuşmacı (karşılıklı); derslere katkı (Oğuz ve CAD dersi gibi)</w:t>
            </w:r>
          </w:p>
        </w:tc>
      </w:tr>
      <w:tr w:rsidR="00036EF5" w:rsidTr="00036EF5">
        <w:tc>
          <w:tcPr>
            <w:tcW w:w="1129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Diğer belediyeler</w:t>
            </w:r>
          </w:p>
        </w:tc>
        <w:tc>
          <w:tcPr>
            <w:tcW w:w="993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Senede 2</w:t>
            </w:r>
          </w:p>
        </w:tc>
        <w:tc>
          <w:tcPr>
            <w:tcW w:w="992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Dolaylı</w:t>
            </w:r>
          </w:p>
        </w:tc>
        <w:tc>
          <w:tcPr>
            <w:tcW w:w="1134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Grup halinde</w:t>
            </w:r>
          </w:p>
        </w:tc>
        <w:tc>
          <w:tcPr>
            <w:tcW w:w="1276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 Akademik etkinlikler (Analitik Etüt 3.sınıf, arazi </w:t>
            </w:r>
            <w:proofErr w:type="spellStart"/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etütü</w:t>
            </w:r>
            <w:proofErr w:type="spellEnd"/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 2. Ve 4. </w:t>
            </w:r>
            <w:proofErr w:type="spellStart"/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Snıf</w:t>
            </w:r>
            <w:proofErr w:type="spellEnd"/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1559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Akademik çalışma /</w:t>
            </w:r>
          </w:p>
        </w:tc>
        <w:tc>
          <w:tcPr>
            <w:tcW w:w="1979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 w:hint="eastAsia"/>
                <w:color w:val="212529"/>
                <w:sz w:val="21"/>
                <w:szCs w:val="21"/>
                <w:lang w:eastAsia="tr-TR"/>
              </w:rPr>
              <w:t>Ç</w:t>
            </w: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alışma sahasında lojistik ve kurumsal destek amacıyla; öğrencilerle birlikte; </w:t>
            </w:r>
          </w:p>
        </w:tc>
      </w:tr>
      <w:tr w:rsidR="00036EF5" w:rsidTr="00036EF5">
        <w:tc>
          <w:tcPr>
            <w:tcW w:w="1129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Diğer belediyeler</w:t>
            </w:r>
          </w:p>
        </w:tc>
        <w:tc>
          <w:tcPr>
            <w:tcW w:w="993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Nadir</w:t>
            </w:r>
          </w:p>
        </w:tc>
        <w:tc>
          <w:tcPr>
            <w:tcW w:w="992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Dolaylı</w:t>
            </w:r>
          </w:p>
        </w:tc>
        <w:tc>
          <w:tcPr>
            <w:tcW w:w="1134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Bireysel / grup halinde</w:t>
            </w:r>
          </w:p>
        </w:tc>
        <w:tc>
          <w:tcPr>
            <w:tcW w:w="1276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>Akademik etkinlikler ve proje temelli</w:t>
            </w:r>
          </w:p>
        </w:tc>
        <w:tc>
          <w:tcPr>
            <w:tcW w:w="1559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Akademik çalışma </w:t>
            </w:r>
          </w:p>
        </w:tc>
        <w:tc>
          <w:tcPr>
            <w:tcW w:w="1979" w:type="dxa"/>
          </w:tcPr>
          <w:p w:rsidR="00036EF5" w:rsidRDefault="00036EF5" w:rsidP="00AE69F3">
            <w:pPr>
              <w:spacing w:before="100" w:beforeAutospacing="1" w:after="100" w:afterAutospacing="1"/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</w:pPr>
            <w:r>
              <w:rPr>
                <w:rFonts w:ascii="HurmeRegular" w:eastAsia="Times New Roman" w:hAnsi="HurmeRegular" w:cs="Times New Roman"/>
                <w:color w:val="212529"/>
                <w:sz w:val="21"/>
                <w:szCs w:val="21"/>
                <w:lang w:eastAsia="tr-TR"/>
              </w:rPr>
              <w:t xml:space="preserve">Döner sermaye kapsamında inceleme, araştırma, raporlama </w:t>
            </w:r>
          </w:p>
        </w:tc>
      </w:tr>
      <w:bookmarkEnd w:id="0"/>
    </w:tbl>
    <w:p w:rsidR="00AE69F3" w:rsidRDefault="00AE69F3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p w:rsidR="00AE69F3" w:rsidRPr="00CB1F0C" w:rsidRDefault="00AE69F3" w:rsidP="00AE69F3">
      <w:pPr>
        <w:shd w:val="clear" w:color="auto" w:fill="FFFFFF"/>
        <w:spacing w:before="100" w:beforeAutospacing="1" w:after="100" w:afterAutospacing="1" w:line="240" w:lineRule="auto"/>
        <w:rPr>
          <w:rFonts w:ascii="HurmeRegular" w:eastAsia="Times New Roman" w:hAnsi="HurmeRegular" w:cs="Times New Roman"/>
          <w:color w:val="212529"/>
          <w:sz w:val="21"/>
          <w:szCs w:val="21"/>
          <w:lang w:eastAsia="tr-TR"/>
        </w:rPr>
      </w:pPr>
    </w:p>
    <w:p w:rsidR="00AE69F3" w:rsidRDefault="00AE69F3"/>
    <w:p w:rsidR="00AE69F3" w:rsidRDefault="00AE69F3"/>
    <w:p w:rsidR="00AE69F3" w:rsidRDefault="00AE69F3"/>
    <w:sectPr w:rsidR="00AE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rme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A419F"/>
    <w:multiLevelType w:val="multilevel"/>
    <w:tmpl w:val="473AF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00E58"/>
    <w:multiLevelType w:val="multilevel"/>
    <w:tmpl w:val="FA20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startOverride w:val="5"/>
    </w:lvlOverride>
  </w:num>
  <w:num w:numId="3">
    <w:abstractNumId w:val="1"/>
    <w:lvlOverride w:ilvl="0">
      <w:startOverride w:val="5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5"/>
    </w:lvlOverride>
  </w:num>
  <w:num w:numId="7">
    <w:abstractNumId w:val="1"/>
    <w:lvlOverride w:ilvl="0">
      <w:startOverride w:val="5"/>
    </w:lvlOverride>
  </w:num>
  <w:num w:numId="8">
    <w:abstractNumId w:val="1"/>
    <w:lvlOverride w:ilvl="0">
      <w:startOverride w:val="5"/>
    </w:lvlOverride>
  </w:num>
  <w:num w:numId="9">
    <w:abstractNumId w:val="1"/>
    <w:lvlOverride w:ilvl="0">
      <w:startOverride w:val="5"/>
    </w:lvlOverride>
  </w:num>
  <w:num w:numId="10">
    <w:abstractNumId w:val="1"/>
    <w:lvlOverride w:ilvl="0">
      <w:startOverride w:val="5"/>
    </w:lvlOverride>
  </w:num>
  <w:num w:numId="11">
    <w:abstractNumId w:val="1"/>
    <w:lvlOverride w:ilvl="0">
      <w:startOverride w:val="5"/>
    </w:lvlOverride>
  </w:num>
  <w:num w:numId="12">
    <w:abstractNumId w:val="1"/>
    <w:lvlOverride w:ilvl="0">
      <w:startOverride w:val="5"/>
    </w:lvlOverride>
  </w:num>
  <w:num w:numId="13">
    <w:abstractNumId w:val="1"/>
    <w:lvlOverride w:ilvl="0">
      <w:startOverride w:val="5"/>
    </w:lvlOverride>
  </w:num>
  <w:num w:numId="14">
    <w:abstractNumId w:val="1"/>
    <w:lvlOverride w:ilvl="0">
      <w:startOverride w:val="5"/>
    </w:lvlOverride>
  </w:num>
  <w:num w:numId="15">
    <w:abstractNumId w:val="1"/>
    <w:lvlOverride w:ilvl="0">
      <w:startOverride w:val="5"/>
    </w:lvlOverride>
  </w:num>
  <w:num w:numId="16">
    <w:abstractNumId w:val="1"/>
    <w:lvlOverride w:ilvl="0">
      <w:startOverride w:val="5"/>
    </w:lvlOverride>
  </w:num>
  <w:num w:numId="17">
    <w:abstractNumId w:val="1"/>
    <w:lvlOverride w:ilvl="0">
      <w:startOverride w:val="5"/>
    </w:lvlOverride>
  </w:num>
  <w:num w:numId="18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0C"/>
    <w:rsid w:val="00036EF5"/>
    <w:rsid w:val="001D608F"/>
    <w:rsid w:val="00AE69F3"/>
    <w:rsid w:val="00CB1F0C"/>
    <w:rsid w:val="00D7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A5F5A5-34EE-4EDC-AA7D-56783063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B1F0C"/>
    <w:rPr>
      <w:b/>
      <w:bCs/>
    </w:rPr>
  </w:style>
  <w:style w:type="table" w:styleId="TabloKlavuzu">
    <w:name w:val="Table Grid"/>
    <w:basedOn w:val="NormalTablo"/>
    <w:uiPriority w:val="39"/>
    <w:rsid w:val="00AE6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Mimarlık</dc:creator>
  <cp:keywords/>
  <dc:description/>
  <cp:lastModifiedBy>gokhan erkan</cp:lastModifiedBy>
  <cp:revision>2</cp:revision>
  <dcterms:created xsi:type="dcterms:W3CDTF">2024-07-11T10:32:00Z</dcterms:created>
  <dcterms:modified xsi:type="dcterms:W3CDTF">2024-07-11T13:13:00Z</dcterms:modified>
</cp:coreProperties>
</file>