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257"/>
        <w:tblOverlap w:val="never"/>
        <w:tblW w:w="1445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2268"/>
        <w:gridCol w:w="4111"/>
        <w:gridCol w:w="2522"/>
        <w:gridCol w:w="2439"/>
        <w:gridCol w:w="3119"/>
      </w:tblGrid>
      <w:tr w:rsidR="00B30540" w:rsidRPr="00CA1076" w:rsidTr="00B30540">
        <w:trPr>
          <w:trHeight w:val="1075"/>
        </w:trPr>
        <w:tc>
          <w:tcPr>
            <w:tcW w:w="2268" w:type="dxa"/>
            <w:vMerge w:val="restart"/>
          </w:tcPr>
          <w:p w:rsidR="00B30540" w:rsidRPr="00120A01" w:rsidRDefault="00B30540" w:rsidP="006440A0">
            <w:pPr>
              <w:widowControl/>
              <w:autoSpaceDE/>
              <w:autoSpaceDN/>
              <w:ind w:right="-290"/>
              <w:rPr>
                <w:rFonts w:ascii="Hurme Geometric Sans 1" w:eastAsia="Calibri" w:hAnsi="Hurme Geometric Sans 1" w:cs="Times New Roman"/>
                <w:noProof/>
                <w:lang w:eastAsia="tr-TR"/>
              </w:rPr>
            </w:pPr>
            <w:r w:rsidRPr="00120A01">
              <w:rPr>
                <w:rFonts w:ascii="Hurme Geometric Sans 1" w:hAnsi="Hurme Geometric Sans 1"/>
                <w:noProof/>
                <w:color w:val="1F3864"/>
                <w:lang w:eastAsia="tr-TR"/>
              </w:rPr>
              <w:drawing>
                <wp:inline distT="0" distB="0" distL="0" distR="0" wp14:anchorId="1616EC22" wp14:editId="086D989D">
                  <wp:extent cx="1304925" cy="1097280"/>
                  <wp:effectExtent l="0" t="0" r="9525" b="7620"/>
                  <wp:docPr id="1" name="Resim 1" descr="C:\Users\Hp\Desktop\LOGO AMBLEM\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Hp\Desktop\LOGO AMBLEM\0 KTÜ Amblem\KTÜ Amblem 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097280"/>
                          </a:xfrm>
                          <a:prstGeom prst="rect">
                            <a:avLst/>
                          </a:prstGeom>
                          <a:noFill/>
                          <a:ln>
                            <a:noFill/>
                          </a:ln>
                        </pic:spPr>
                      </pic:pic>
                    </a:graphicData>
                  </a:graphic>
                </wp:inline>
              </w:drawing>
            </w:r>
          </w:p>
          <w:p w:rsidR="00B30540" w:rsidRPr="00120A01" w:rsidRDefault="00B30540" w:rsidP="00B3054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r w:rsidRPr="00120A01">
              <w:rPr>
                <w:rFonts w:ascii="Hurme Geometric Sans 1" w:eastAsia="Calibri" w:hAnsi="Hurme Geometric Sans 1"/>
                <w:noProof/>
                <w:color w:val="365F91" w:themeColor="accent1" w:themeShade="BF"/>
                <w:sz w:val="24"/>
                <w:szCs w:val="24"/>
                <w:lang w:eastAsia="tr-TR"/>
              </w:rPr>
              <w:t xml:space="preserve">  </w:t>
            </w:r>
          </w:p>
        </w:tc>
        <w:tc>
          <w:tcPr>
            <w:tcW w:w="9072" w:type="dxa"/>
            <w:gridSpan w:val="3"/>
            <w:vAlign w:val="center"/>
          </w:tcPr>
          <w:p w:rsidR="00B30540" w:rsidRPr="00120A01" w:rsidRDefault="00B30540" w:rsidP="006440A0">
            <w:pPr>
              <w:widowControl/>
              <w:autoSpaceDE/>
              <w:autoSpaceDN/>
              <w:ind w:right="149"/>
              <w:jc w:val="center"/>
              <w:rPr>
                <w:rFonts w:ascii="Hurme Geometric Sans 1" w:eastAsia="Times New Roman" w:hAnsi="Hurme Geometric Sans 1"/>
                <w:b/>
                <w:bCs/>
                <w:color w:val="365F91" w:themeColor="accent1" w:themeShade="BF"/>
                <w:sz w:val="24"/>
                <w:szCs w:val="28"/>
                <w:lang w:eastAsia="tr-TR"/>
              </w:rPr>
            </w:pPr>
            <w:r>
              <w:rPr>
                <w:rFonts w:ascii="Hurme Geometric Sans 1" w:eastAsia="Times New Roman" w:hAnsi="Hurme Geometric Sans 1"/>
                <w:b/>
                <w:bCs/>
                <w:color w:val="244061" w:themeColor="accent1" w:themeShade="80"/>
                <w:sz w:val="40"/>
                <w:szCs w:val="40"/>
                <w:lang w:eastAsia="tr-TR"/>
              </w:rPr>
              <w:t>BİRİM ADI</w:t>
            </w:r>
          </w:p>
        </w:tc>
        <w:tc>
          <w:tcPr>
            <w:tcW w:w="3119" w:type="dxa"/>
            <w:vMerge w:val="restart"/>
          </w:tcPr>
          <w:p w:rsidR="00B30540" w:rsidRPr="00120A01" w:rsidRDefault="00B30540" w:rsidP="006440A0">
            <w:pPr>
              <w:widowControl/>
              <w:autoSpaceDE/>
              <w:autoSpaceDN/>
              <w:ind w:right="-290"/>
              <w:rPr>
                <w:rFonts w:ascii="Hurme Geometric Sans 1" w:eastAsia="Times New Roman" w:hAnsi="Hurme Geometric Sans 1" w:cs="Times New Roman"/>
                <w:b/>
                <w:bCs/>
                <w:noProof/>
                <w:color w:val="4F81BD" w:themeColor="accent1"/>
                <w:sz w:val="24"/>
                <w:szCs w:val="24"/>
                <w:lang w:eastAsia="tr-TR"/>
              </w:rPr>
            </w:pPr>
          </w:p>
          <w:p w:rsidR="00B30540" w:rsidRPr="00120A01" w:rsidRDefault="00B30540" w:rsidP="006440A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r>
              <w:rPr>
                <w:rFonts w:ascii="Hurme Geometric Sans 1" w:eastAsia="Times New Roman" w:hAnsi="Hurme Geometric Sans 1" w:cs="Times New Roman"/>
                <w:b/>
                <w:bCs/>
                <w:noProof/>
                <w:color w:val="365F91" w:themeColor="accent1" w:themeShade="BF"/>
                <w:sz w:val="28"/>
                <w:szCs w:val="28"/>
                <w:lang w:eastAsia="tr-TR"/>
              </w:rPr>
              <w:drawing>
                <wp:inline distT="0" distB="0" distL="0" distR="0" wp14:anchorId="4FA6F01E" wp14:editId="52568870">
                  <wp:extent cx="1790700" cy="98822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6346" cy="991338"/>
                          </a:xfrm>
                          <a:prstGeom prst="rect">
                            <a:avLst/>
                          </a:prstGeom>
                          <a:noFill/>
                        </pic:spPr>
                      </pic:pic>
                    </a:graphicData>
                  </a:graphic>
                </wp:inline>
              </w:drawing>
            </w:r>
          </w:p>
        </w:tc>
      </w:tr>
      <w:tr w:rsidR="00B30540" w:rsidRPr="00CA1076" w:rsidTr="00B30540">
        <w:trPr>
          <w:trHeight w:val="805"/>
        </w:trPr>
        <w:tc>
          <w:tcPr>
            <w:tcW w:w="2268" w:type="dxa"/>
            <w:vMerge/>
          </w:tcPr>
          <w:p w:rsidR="00B30540" w:rsidRPr="00120A01" w:rsidRDefault="00B30540" w:rsidP="006440A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p>
        </w:tc>
        <w:tc>
          <w:tcPr>
            <w:tcW w:w="9072" w:type="dxa"/>
            <w:gridSpan w:val="3"/>
            <w:vAlign w:val="center"/>
          </w:tcPr>
          <w:p w:rsidR="00B30540" w:rsidRPr="00120A01" w:rsidRDefault="00B30540" w:rsidP="006440A0">
            <w:pPr>
              <w:widowControl/>
              <w:autoSpaceDE/>
              <w:autoSpaceDN/>
              <w:jc w:val="center"/>
              <w:rPr>
                <w:rFonts w:ascii="Hurme Geometric Sans 1" w:eastAsia="Calibri" w:hAnsi="Hurme Geometric Sans 1"/>
                <w:b/>
                <w:color w:val="365F91" w:themeColor="accent1" w:themeShade="BF"/>
                <w:sz w:val="28"/>
                <w:szCs w:val="28"/>
              </w:rPr>
            </w:pPr>
            <w:r>
              <w:rPr>
                <w:rFonts w:ascii="Hurme Geometric Sans 1" w:eastAsia="Calibri" w:hAnsi="Hurme Geometric Sans 1"/>
                <w:b/>
                <w:color w:val="244061" w:themeColor="accent1" w:themeShade="80"/>
                <w:sz w:val="28"/>
                <w:szCs w:val="28"/>
              </w:rPr>
              <w:t>KONSOLİDE RİSK RAPORU</w:t>
            </w:r>
          </w:p>
        </w:tc>
        <w:tc>
          <w:tcPr>
            <w:tcW w:w="3119" w:type="dxa"/>
            <w:vMerge/>
          </w:tcPr>
          <w:p w:rsidR="00B30540" w:rsidRPr="00120A01" w:rsidRDefault="00B30540" w:rsidP="006440A0">
            <w:pPr>
              <w:widowControl/>
              <w:autoSpaceDE/>
              <w:autoSpaceDN/>
              <w:ind w:right="-290"/>
              <w:rPr>
                <w:rFonts w:ascii="Hurme Geometric Sans 1" w:eastAsia="Times New Roman" w:hAnsi="Hurme Geometric Sans 1" w:cs="Times New Roman"/>
                <w:b/>
                <w:bCs/>
                <w:color w:val="365F91" w:themeColor="accent1" w:themeShade="BF"/>
                <w:sz w:val="28"/>
                <w:szCs w:val="28"/>
                <w:lang w:eastAsia="tr-TR"/>
              </w:rPr>
            </w:pPr>
          </w:p>
        </w:tc>
      </w:tr>
      <w:tr w:rsidR="00B30540" w:rsidRPr="00CA1076" w:rsidTr="00B30540">
        <w:trPr>
          <w:trHeight w:val="350"/>
        </w:trPr>
        <w:tc>
          <w:tcPr>
            <w:tcW w:w="2268"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Dok. Kodu: İK</w:t>
            </w:r>
            <w:r w:rsidRPr="00B30540">
              <w:rPr>
                <w:rFonts w:ascii="Hurme Geometric Sans 1" w:eastAsia="Calibri" w:hAnsi="Hurme Geometric Sans 1"/>
                <w:b/>
                <w:bCs/>
                <w:color w:val="244061" w:themeColor="accent1" w:themeShade="80"/>
                <w:sz w:val="20"/>
                <w:szCs w:val="20"/>
                <w:lang w:eastAsia="tr-TR"/>
              </w:rPr>
              <w:t>. FR. …</w:t>
            </w:r>
          </w:p>
        </w:tc>
        <w:tc>
          <w:tcPr>
            <w:tcW w:w="4111"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 xml:space="preserve">Yay. Tar: </w:t>
            </w:r>
          </w:p>
        </w:tc>
        <w:tc>
          <w:tcPr>
            <w:tcW w:w="2522"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 xml:space="preserve">Revizyon No: </w:t>
            </w:r>
          </w:p>
        </w:tc>
        <w:tc>
          <w:tcPr>
            <w:tcW w:w="2439"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proofErr w:type="spellStart"/>
            <w:r w:rsidRPr="00B30540">
              <w:rPr>
                <w:rFonts w:ascii="Hurme Geometric Sans 1" w:eastAsia="Times New Roman" w:hAnsi="Hurme Geometric Sans 1"/>
                <w:b/>
                <w:bCs/>
                <w:color w:val="244061" w:themeColor="accent1" w:themeShade="80"/>
                <w:sz w:val="20"/>
                <w:szCs w:val="20"/>
                <w:lang w:eastAsia="tr-TR"/>
              </w:rPr>
              <w:t>Rev</w:t>
            </w:r>
            <w:proofErr w:type="spellEnd"/>
            <w:r w:rsidRPr="00B30540">
              <w:rPr>
                <w:rFonts w:ascii="Hurme Geometric Sans 1" w:eastAsia="Times New Roman" w:hAnsi="Hurme Geometric Sans 1"/>
                <w:b/>
                <w:bCs/>
                <w:color w:val="244061" w:themeColor="accent1" w:themeShade="80"/>
                <w:sz w:val="20"/>
                <w:szCs w:val="20"/>
                <w:lang w:eastAsia="tr-TR"/>
              </w:rPr>
              <w:t xml:space="preserve">. Tar: </w:t>
            </w:r>
          </w:p>
        </w:tc>
        <w:tc>
          <w:tcPr>
            <w:tcW w:w="3119" w:type="dxa"/>
            <w:vAlign w:val="center"/>
          </w:tcPr>
          <w:p w:rsidR="00B30540" w:rsidRPr="00B30540" w:rsidRDefault="00B30540" w:rsidP="006440A0">
            <w:pPr>
              <w:widowControl/>
              <w:autoSpaceDE/>
              <w:autoSpaceDN/>
              <w:ind w:right="-290"/>
              <w:rPr>
                <w:rFonts w:ascii="Hurme Geometric Sans 1" w:eastAsia="Times New Roman" w:hAnsi="Hurme Geometric Sans 1"/>
                <w:b/>
                <w:bCs/>
                <w:color w:val="244061" w:themeColor="accent1" w:themeShade="80"/>
                <w:sz w:val="20"/>
                <w:szCs w:val="20"/>
                <w:lang w:eastAsia="tr-TR"/>
              </w:rPr>
            </w:pPr>
            <w:r w:rsidRPr="00B30540">
              <w:rPr>
                <w:rFonts w:ascii="Hurme Geometric Sans 1" w:eastAsia="Times New Roman" w:hAnsi="Hurme Geometric Sans 1"/>
                <w:b/>
                <w:bCs/>
                <w:color w:val="244061" w:themeColor="accent1" w:themeShade="80"/>
                <w:sz w:val="20"/>
                <w:szCs w:val="20"/>
                <w:lang w:eastAsia="tr-TR"/>
              </w:rPr>
              <w:t>Sayfa Sayısı: 02</w:t>
            </w:r>
          </w:p>
        </w:tc>
      </w:tr>
    </w:tbl>
    <w:p w:rsidR="00B30540" w:rsidRDefault="00B30540" w:rsidP="00B30540"/>
    <w:tbl>
      <w:tblPr>
        <w:tblW w:w="14550" w:type="dxa"/>
        <w:jc w:val="center"/>
        <w:tblInd w:w="408" w:type="dxa"/>
        <w:tblCellMar>
          <w:left w:w="0" w:type="dxa"/>
          <w:right w:w="0" w:type="dxa"/>
        </w:tblCellMar>
        <w:tblLook w:val="0420" w:firstRow="1" w:lastRow="0" w:firstColumn="0" w:lastColumn="0" w:noHBand="0" w:noVBand="1"/>
      </w:tblPr>
      <w:tblGrid>
        <w:gridCol w:w="722"/>
        <w:gridCol w:w="619"/>
        <w:gridCol w:w="619"/>
        <w:gridCol w:w="793"/>
        <w:gridCol w:w="3251"/>
        <w:gridCol w:w="2263"/>
        <w:gridCol w:w="2264"/>
        <w:gridCol w:w="1557"/>
        <w:gridCol w:w="2462"/>
      </w:tblGrid>
      <w:tr w:rsidR="00B30540" w:rsidRPr="00B30540" w:rsidTr="00B30540">
        <w:trPr>
          <w:trHeight w:val="500"/>
          <w:jc w:val="center"/>
        </w:trPr>
        <w:tc>
          <w:tcPr>
            <w:tcW w:w="722"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1</w:t>
            </w:r>
          </w:p>
        </w:tc>
        <w:tc>
          <w:tcPr>
            <w:tcW w:w="619"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2</w:t>
            </w:r>
          </w:p>
        </w:tc>
        <w:tc>
          <w:tcPr>
            <w:tcW w:w="619"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3</w:t>
            </w:r>
          </w:p>
        </w:tc>
        <w:tc>
          <w:tcPr>
            <w:tcW w:w="79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4</w:t>
            </w:r>
          </w:p>
        </w:tc>
        <w:tc>
          <w:tcPr>
            <w:tcW w:w="3251"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5</w:t>
            </w: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6</w:t>
            </w:r>
          </w:p>
        </w:tc>
        <w:tc>
          <w:tcPr>
            <w:tcW w:w="2264"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7</w:t>
            </w:r>
          </w:p>
        </w:tc>
        <w:tc>
          <w:tcPr>
            <w:tcW w:w="1557"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8</w:t>
            </w:r>
          </w:p>
        </w:tc>
        <w:tc>
          <w:tcPr>
            <w:tcW w:w="2462"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9</w:t>
            </w:r>
          </w:p>
        </w:tc>
      </w:tr>
      <w:tr w:rsidR="00B30540" w:rsidRPr="00B30540" w:rsidTr="00B30540">
        <w:trPr>
          <w:trHeight w:val="485"/>
          <w:jc w:val="center"/>
        </w:trPr>
        <w:tc>
          <w:tcPr>
            <w:tcW w:w="72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Sıra No</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Referans No</w:t>
            </w:r>
          </w:p>
        </w:tc>
        <w:tc>
          <w:tcPr>
            <w:tcW w:w="61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Stratejik Hedef</w:t>
            </w: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Biri/Alt Birim Hedefi</w:t>
            </w:r>
          </w:p>
        </w:tc>
        <w:tc>
          <w:tcPr>
            <w:tcW w:w="325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Tespit Edilen Risk</w:t>
            </w:r>
          </w:p>
        </w:tc>
        <w:tc>
          <w:tcPr>
            <w:tcW w:w="45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Durum</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Risk Sahibi</w:t>
            </w:r>
          </w:p>
        </w:tc>
        <w:tc>
          <w:tcPr>
            <w:tcW w:w="246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Açıklamalar</w:t>
            </w:r>
          </w:p>
        </w:tc>
      </w:tr>
      <w:tr w:rsidR="00B30540" w:rsidRPr="00B30540" w:rsidTr="00B30540">
        <w:trPr>
          <w:trHeight w:val="1119"/>
          <w:jc w:val="center"/>
        </w:trPr>
        <w:tc>
          <w:tcPr>
            <w:tcW w:w="722"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 xml:space="preserve">Öncesi Risk </w:t>
            </w:r>
          </w:p>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Puanı ve Rengi</w:t>
            </w:r>
          </w:p>
        </w:tc>
        <w:tc>
          <w:tcPr>
            <w:tcW w:w="2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 xml:space="preserve">Sonraki Risk </w:t>
            </w:r>
          </w:p>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r w:rsidRPr="00B30540">
              <w:rPr>
                <w:rFonts w:ascii="Hurme Geometric Sans 1" w:eastAsiaTheme="minorEastAsia" w:hAnsi="Hurme Geometric Sans 1" w:cstheme="minorBidi"/>
                <w:b/>
                <w:lang w:eastAsia="tr-TR"/>
              </w:rPr>
              <w:t>Puanı ve Rengi</w:t>
            </w: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bottom w:val="single" w:sz="8" w:space="0" w:color="000000"/>
              <w:right w:val="single" w:sz="8" w:space="0" w:color="000000"/>
            </w:tcBorders>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r w:rsidR="00B30540" w:rsidRPr="00B30540" w:rsidTr="00B30540">
        <w:trPr>
          <w:trHeight w:val="397"/>
          <w:jc w:val="center"/>
        </w:trPr>
        <w:tc>
          <w:tcPr>
            <w:tcW w:w="72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61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7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3251"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3"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264" w:type="dxa"/>
            <w:tcBorders>
              <w:top w:val="single" w:sz="8" w:space="0" w:color="000000"/>
              <w:left w:val="single"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155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c>
          <w:tcPr>
            <w:tcW w:w="2462"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lang w:eastAsia="tr-TR"/>
              </w:rPr>
            </w:pPr>
          </w:p>
        </w:tc>
      </w:tr>
    </w:tbl>
    <w:p w:rsidR="00B30540" w:rsidRDefault="00B30540" w:rsidP="00B30540">
      <w:bookmarkStart w:id="0" w:name="_GoBack"/>
      <w:bookmarkEnd w:id="0"/>
    </w:p>
    <w:tbl>
      <w:tblPr>
        <w:tblW w:w="14554" w:type="dxa"/>
        <w:jc w:val="center"/>
        <w:tblInd w:w="322" w:type="dxa"/>
        <w:tblCellMar>
          <w:left w:w="70" w:type="dxa"/>
          <w:right w:w="70" w:type="dxa"/>
        </w:tblCellMar>
        <w:tblLook w:val="04A0" w:firstRow="1" w:lastRow="0" w:firstColumn="1" w:lastColumn="0" w:noHBand="0" w:noVBand="1"/>
      </w:tblPr>
      <w:tblGrid>
        <w:gridCol w:w="370"/>
        <w:gridCol w:w="14184"/>
      </w:tblGrid>
      <w:tr w:rsidR="00B30540" w:rsidRPr="00B30540" w:rsidTr="00B30540">
        <w:trPr>
          <w:trHeight w:val="420"/>
          <w:jc w:val="center"/>
        </w:trPr>
        <w:tc>
          <w:tcPr>
            <w:tcW w:w="14554"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30540" w:rsidRPr="00B30540" w:rsidRDefault="00B30540" w:rsidP="00B30540">
            <w:pPr>
              <w:widowControl/>
              <w:autoSpaceDE/>
              <w:autoSpaceDN/>
              <w:jc w:val="center"/>
              <w:rPr>
                <w:rFonts w:ascii="Calibri" w:eastAsia="Times New Roman" w:hAnsi="Calibri" w:cs="Times New Roman"/>
                <w:b/>
                <w:bCs/>
                <w:color w:val="FFFFFF"/>
                <w:sz w:val="24"/>
                <w:szCs w:val="24"/>
                <w:lang w:eastAsia="tr-TR"/>
              </w:rPr>
            </w:pPr>
            <w:r w:rsidRPr="00B30540">
              <w:rPr>
                <w:rFonts w:ascii="Hurme Geometric Sans 1" w:eastAsiaTheme="minorEastAsia" w:hAnsi="Hurme Geometric Sans 1" w:cstheme="minorBidi"/>
                <w:b/>
                <w:color w:val="FFFFFF" w:themeColor="background1"/>
                <w:lang w:eastAsia="tr-TR"/>
              </w:rPr>
              <w:t>Sütunlar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1</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Sıra No:</w:t>
            </w:r>
            <w:r w:rsidRPr="00B30540">
              <w:rPr>
                <w:rFonts w:ascii="Calibri" w:eastAsia="Times New Roman" w:hAnsi="Calibri" w:cs="Times New Roman"/>
                <w:b/>
                <w:bCs/>
                <w:color w:val="000000"/>
                <w:lang w:eastAsia="tr-TR"/>
              </w:rPr>
              <w:t xml:space="preserve"> </w:t>
            </w:r>
            <w:r w:rsidRPr="00B30540">
              <w:rPr>
                <w:rFonts w:ascii="Hurme Geometric Sans 1" w:eastAsiaTheme="minorEastAsia" w:hAnsi="Hurme Geometric Sans 1" w:cstheme="minorBidi"/>
                <w:lang w:eastAsia="tr-TR"/>
              </w:rPr>
              <w:t>Risk kaydındaki sıralamayı gösterir.</w:t>
            </w:r>
            <w:r w:rsidRPr="00B30540">
              <w:rPr>
                <w:rFonts w:ascii="Calibri" w:eastAsia="Times New Roman" w:hAnsi="Calibri" w:cs="Times New Roman"/>
                <w:color w:val="000000"/>
                <w:lang w:eastAsia="tr-TR"/>
              </w:rPr>
              <w:t xml:space="preserve"> </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2</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Referans No:</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Riskin referans numarasını gösterir. Referans numarası risk sahibinin bağlı olduğu birimi de gösterecek şekilde yapılan bir kodlamadır. Risk devam ettiği sürece bu kod değiştirilmez. Aynı kod bir başka riske verilmez.</w:t>
            </w:r>
            <w:r w:rsidRPr="00B30540">
              <w:rPr>
                <w:rFonts w:ascii="Calibri" w:eastAsia="Times New Roman" w:hAnsi="Calibri" w:cs="Times New Roman"/>
                <w:color w:val="000000"/>
                <w:lang w:eastAsia="tr-TR"/>
              </w:rPr>
              <w:t xml:space="preserve"> </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3</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Stratejik Hedef:</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Riskin ilişkili olduğu stratejik hedefin, stratejik plandaki kodunun yazıldığı sütundur.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4</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Birim/Alt Birim Hedefi:</w:t>
            </w:r>
            <w:r w:rsidRPr="00B30540">
              <w:rPr>
                <w:rFonts w:ascii="Calibri" w:eastAsia="Times New Roman" w:hAnsi="Calibri" w:cs="Times New Roman"/>
                <w:b/>
                <w:bCs/>
                <w:color w:val="000000"/>
                <w:lang w:eastAsia="tr-TR"/>
              </w:rPr>
              <w:t xml:space="preserve"> </w:t>
            </w:r>
            <w:r w:rsidRPr="00B30540">
              <w:rPr>
                <w:rFonts w:ascii="Hurme Geometric Sans 1" w:eastAsiaTheme="minorEastAsia" w:hAnsi="Hurme Geometric Sans 1" w:cstheme="minorBidi"/>
                <w:lang w:eastAsia="tr-TR"/>
              </w:rPr>
              <w:t>Rapor birim / alt birim düzeyinde hazırlanıyor ise Risk Kayıt Formunda yer alan Birim/Alt Birim hedefleri bu sütuna yazılır. Rapor idare düzeyinde hazırlanıyor ise bu sütun boş bırakılır.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5</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Tespit Edilen Risk:</w:t>
            </w:r>
            <w:r w:rsidRPr="00B30540">
              <w:rPr>
                <w:rFonts w:ascii="Calibri" w:eastAsia="Times New Roman" w:hAnsi="Calibri" w:cs="Times New Roman"/>
                <w:b/>
                <w:bCs/>
                <w:color w:val="000000"/>
                <w:lang w:eastAsia="tr-TR"/>
              </w:rPr>
              <w:t xml:space="preserve"> </w:t>
            </w:r>
            <w:r w:rsidRPr="00B30540">
              <w:rPr>
                <w:rFonts w:ascii="Hurme Geometric Sans 1" w:eastAsiaTheme="minorEastAsia" w:hAnsi="Hurme Geometric Sans 1" w:cstheme="minorBidi"/>
                <w:lang w:eastAsia="tr-TR"/>
              </w:rPr>
              <w:t>Belirlenen risk yazılır.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6</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Önceki Risk Puanı ve Rengi:</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Bir önceki Konsolide Risk Raporundaki riskin durumunu ifade eder.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7</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Mevcut Risk Puanı ve Rengi:</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Rapor tarihindeki durumu gösterir.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8</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 xml:space="preserve">Riskin Sahibi: </w:t>
            </w:r>
            <w:r w:rsidRPr="00B30540">
              <w:rPr>
                <w:rFonts w:ascii="Hurme Geometric Sans 1" w:eastAsiaTheme="minorEastAsia" w:hAnsi="Hurme Geometric Sans 1" w:cstheme="minorBidi"/>
                <w:lang w:eastAsia="tr-TR"/>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B30540" w:rsidRPr="00B30540" w:rsidTr="00B30540">
        <w:trPr>
          <w:trHeight w:val="585"/>
          <w:jc w:val="center"/>
        </w:trPr>
        <w:tc>
          <w:tcPr>
            <w:tcW w:w="370" w:type="dxa"/>
            <w:tcBorders>
              <w:top w:val="nil"/>
              <w:left w:val="single" w:sz="4" w:space="0" w:color="auto"/>
              <w:bottom w:val="single" w:sz="4" w:space="0" w:color="auto"/>
              <w:right w:val="single" w:sz="4" w:space="0" w:color="auto"/>
            </w:tcBorders>
            <w:shd w:val="clear" w:color="000000" w:fill="FF0000"/>
            <w:vAlign w:val="center"/>
            <w:hideMark/>
          </w:tcPr>
          <w:p w:rsidR="00B30540" w:rsidRPr="00B30540" w:rsidRDefault="00B30540" w:rsidP="00B30540">
            <w:pPr>
              <w:widowControl/>
              <w:autoSpaceDE/>
              <w:autoSpaceDN/>
              <w:spacing w:line="276" w:lineRule="auto"/>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9</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Hurme Geometric Sans 1" w:eastAsiaTheme="minorEastAsia" w:hAnsi="Hurme Geometric Sans 1" w:cstheme="minorBidi"/>
                <w:b/>
                <w:lang w:eastAsia="tr-TR"/>
              </w:rPr>
              <w:t>Açıklama:</w:t>
            </w:r>
            <w:r w:rsidRPr="00B30540">
              <w:rPr>
                <w:rFonts w:ascii="Calibri" w:eastAsia="Times New Roman" w:hAnsi="Calibri" w:cs="Times New Roman"/>
                <w:color w:val="000000"/>
                <w:lang w:eastAsia="tr-TR"/>
              </w:rPr>
              <w:t xml:space="preserve"> </w:t>
            </w:r>
            <w:r w:rsidRPr="00B30540">
              <w:rPr>
                <w:rFonts w:ascii="Hurme Geometric Sans 1" w:eastAsiaTheme="minorEastAsia" w:hAnsi="Hurme Geometric Sans 1" w:cstheme="minorBidi"/>
                <w:lang w:eastAsia="tr-TR"/>
              </w:rPr>
              <w:t>Kontrol Faaliyetlerinin etkinliği ve geleceğe ilişkin öngörüler açıklama kısmında yer alır.</w:t>
            </w:r>
          </w:p>
        </w:tc>
      </w:tr>
      <w:tr w:rsidR="00B30540" w:rsidRPr="00B30540" w:rsidTr="00B30540">
        <w:trPr>
          <w:trHeight w:val="465"/>
          <w:jc w:val="center"/>
        </w:trPr>
        <w:tc>
          <w:tcPr>
            <w:tcW w:w="14554"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30540" w:rsidRPr="00B30540" w:rsidRDefault="00B30540" w:rsidP="00B30540">
            <w:pPr>
              <w:widowControl/>
              <w:autoSpaceDE/>
              <w:autoSpaceDN/>
              <w:jc w:val="center"/>
              <w:rPr>
                <w:rFonts w:ascii="Hurme Geometric Sans 1" w:eastAsiaTheme="minorEastAsia" w:hAnsi="Hurme Geometric Sans 1" w:cstheme="minorBidi"/>
                <w:b/>
                <w:color w:val="FFFFFF" w:themeColor="background1"/>
                <w:lang w:eastAsia="tr-TR"/>
              </w:rPr>
            </w:pPr>
            <w:r w:rsidRPr="00B30540">
              <w:rPr>
                <w:rFonts w:ascii="Hurme Geometric Sans 1" w:eastAsiaTheme="minorEastAsia" w:hAnsi="Hurme Geometric Sans 1" w:cstheme="minorBidi"/>
                <w:b/>
                <w:color w:val="FFFFFF" w:themeColor="background1"/>
                <w:lang w:eastAsia="tr-TR"/>
              </w:rPr>
              <w:t>Renkler</w:t>
            </w:r>
          </w:p>
        </w:tc>
      </w:tr>
      <w:tr w:rsidR="00B30540" w:rsidRPr="00B30540" w:rsidTr="00B30540">
        <w:trPr>
          <w:trHeight w:val="525"/>
          <w:jc w:val="center"/>
        </w:trPr>
        <w:tc>
          <w:tcPr>
            <w:tcW w:w="370" w:type="dxa"/>
            <w:tcBorders>
              <w:top w:val="nil"/>
              <w:left w:val="single" w:sz="4" w:space="0" w:color="auto"/>
              <w:bottom w:val="single" w:sz="4" w:space="0" w:color="auto"/>
              <w:right w:val="single" w:sz="4" w:space="0" w:color="auto"/>
            </w:tcBorders>
            <w:shd w:val="clear" w:color="000000" w:fill="FF0000"/>
            <w:noWrap/>
            <w:vAlign w:val="bottom"/>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Calibri" w:eastAsia="Times New Roman" w:hAnsi="Calibri" w:cs="Times New Roman"/>
                <w:color w:val="000000"/>
                <w:lang w:eastAsia="tr-TR"/>
              </w:rPr>
              <w:t> </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Hurme Geometric Sans 1" w:eastAsiaTheme="minorEastAsia" w:hAnsi="Hurme Geometric Sans 1" w:cstheme="minorBidi"/>
                <w:lang w:eastAsia="tr-TR"/>
              </w:rPr>
            </w:pPr>
            <w:r w:rsidRPr="00B30540">
              <w:rPr>
                <w:rFonts w:ascii="Hurme Geometric Sans 1" w:eastAsiaTheme="minorEastAsia" w:hAnsi="Hurme Geometric Sans 1" w:cstheme="minorBidi"/>
                <w:lang w:eastAsia="tr-TR"/>
              </w:rPr>
              <w:t xml:space="preserve">Yüksek düzey risk  </w:t>
            </w:r>
          </w:p>
        </w:tc>
      </w:tr>
      <w:tr w:rsidR="00B30540" w:rsidRPr="00B30540" w:rsidTr="00B30540">
        <w:trPr>
          <w:trHeight w:val="525"/>
          <w:jc w:val="center"/>
        </w:trPr>
        <w:tc>
          <w:tcPr>
            <w:tcW w:w="370" w:type="dxa"/>
            <w:tcBorders>
              <w:top w:val="nil"/>
              <w:left w:val="single" w:sz="4" w:space="0" w:color="auto"/>
              <w:bottom w:val="single" w:sz="4" w:space="0" w:color="auto"/>
              <w:right w:val="single" w:sz="4" w:space="0" w:color="auto"/>
            </w:tcBorders>
            <w:shd w:val="clear" w:color="000000" w:fill="FFFF00"/>
            <w:noWrap/>
            <w:vAlign w:val="bottom"/>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Calibri" w:eastAsia="Times New Roman" w:hAnsi="Calibri" w:cs="Times New Roman"/>
                <w:color w:val="000000"/>
                <w:lang w:eastAsia="tr-TR"/>
              </w:rPr>
              <w:t> </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Hurme Geometric Sans 1" w:eastAsiaTheme="minorEastAsia" w:hAnsi="Hurme Geometric Sans 1" w:cstheme="minorBidi"/>
                <w:lang w:eastAsia="tr-TR"/>
              </w:rPr>
            </w:pPr>
            <w:r w:rsidRPr="00B30540">
              <w:rPr>
                <w:rFonts w:ascii="Hurme Geometric Sans 1" w:eastAsiaTheme="minorEastAsia" w:hAnsi="Hurme Geometric Sans 1" w:cstheme="minorBidi"/>
                <w:lang w:eastAsia="tr-TR"/>
              </w:rPr>
              <w:t>Orta düzey risk</w:t>
            </w:r>
          </w:p>
        </w:tc>
      </w:tr>
      <w:tr w:rsidR="00B30540" w:rsidRPr="00B30540" w:rsidTr="00B30540">
        <w:trPr>
          <w:trHeight w:val="525"/>
          <w:jc w:val="center"/>
        </w:trPr>
        <w:tc>
          <w:tcPr>
            <w:tcW w:w="370" w:type="dxa"/>
            <w:tcBorders>
              <w:top w:val="nil"/>
              <w:left w:val="single" w:sz="4" w:space="0" w:color="auto"/>
              <w:bottom w:val="single" w:sz="4" w:space="0" w:color="auto"/>
              <w:right w:val="single" w:sz="4" w:space="0" w:color="auto"/>
            </w:tcBorders>
            <w:shd w:val="clear" w:color="000000" w:fill="00B050"/>
            <w:noWrap/>
            <w:vAlign w:val="bottom"/>
            <w:hideMark/>
          </w:tcPr>
          <w:p w:rsidR="00B30540" w:rsidRPr="00B30540" w:rsidRDefault="00B30540" w:rsidP="00B30540">
            <w:pPr>
              <w:widowControl/>
              <w:autoSpaceDE/>
              <w:autoSpaceDN/>
              <w:rPr>
                <w:rFonts w:ascii="Calibri" w:eastAsia="Times New Roman" w:hAnsi="Calibri" w:cs="Times New Roman"/>
                <w:color w:val="000000"/>
                <w:lang w:eastAsia="tr-TR"/>
              </w:rPr>
            </w:pPr>
            <w:r w:rsidRPr="00B30540">
              <w:rPr>
                <w:rFonts w:ascii="Calibri" w:eastAsia="Times New Roman" w:hAnsi="Calibri" w:cs="Times New Roman"/>
                <w:color w:val="000000"/>
                <w:lang w:eastAsia="tr-TR"/>
              </w:rPr>
              <w:t> </w:t>
            </w:r>
          </w:p>
        </w:tc>
        <w:tc>
          <w:tcPr>
            <w:tcW w:w="14184" w:type="dxa"/>
            <w:tcBorders>
              <w:top w:val="single" w:sz="4" w:space="0" w:color="auto"/>
              <w:left w:val="nil"/>
              <w:bottom w:val="single" w:sz="4" w:space="0" w:color="auto"/>
              <w:right w:val="single" w:sz="4" w:space="0" w:color="auto"/>
            </w:tcBorders>
            <w:shd w:val="clear" w:color="auto" w:fill="auto"/>
            <w:vAlign w:val="center"/>
            <w:hideMark/>
          </w:tcPr>
          <w:p w:rsidR="00B30540" w:rsidRPr="00B30540" w:rsidRDefault="00B30540" w:rsidP="00B30540">
            <w:pPr>
              <w:widowControl/>
              <w:autoSpaceDE/>
              <w:autoSpaceDN/>
              <w:rPr>
                <w:rFonts w:ascii="Hurme Geometric Sans 1" w:eastAsiaTheme="minorEastAsia" w:hAnsi="Hurme Geometric Sans 1" w:cstheme="minorBidi"/>
                <w:lang w:eastAsia="tr-TR"/>
              </w:rPr>
            </w:pPr>
            <w:r w:rsidRPr="00B30540">
              <w:rPr>
                <w:rFonts w:ascii="Hurme Geometric Sans 1" w:eastAsiaTheme="minorEastAsia" w:hAnsi="Hurme Geometric Sans 1" w:cstheme="minorBidi"/>
                <w:lang w:eastAsia="tr-TR"/>
              </w:rPr>
              <w:t>Düşük düzey risk</w:t>
            </w:r>
          </w:p>
        </w:tc>
      </w:tr>
    </w:tbl>
    <w:p w:rsidR="00B30540" w:rsidRDefault="00B30540" w:rsidP="00B30540"/>
    <w:sectPr w:rsidR="00B30540" w:rsidSect="00B3054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Hurme Geometric Sans 1">
    <w:panose1 w:val="00000000000000000000"/>
    <w:charset w:val="00"/>
    <w:family w:val="swiss"/>
    <w:notTrueType/>
    <w:pitch w:val="variable"/>
    <w:sig w:usb0="00000007"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0"/>
    <w:rsid w:val="0039479C"/>
    <w:rsid w:val="00B30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0540"/>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3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0540"/>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30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uozturk@ktu.edu.tr</dc:creator>
  <cp:lastModifiedBy>uozturk@ktu.edu.tr</cp:lastModifiedBy>
  <cp:revision>1</cp:revision>
  <dcterms:created xsi:type="dcterms:W3CDTF">2022-06-13T11:30:00Z</dcterms:created>
  <dcterms:modified xsi:type="dcterms:W3CDTF">2022-06-13T11:39:00Z</dcterms:modified>
</cp:coreProperties>
</file>