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0B6C" w14:textId="4F024A0E" w:rsidR="0002259E" w:rsidRPr="0002259E" w:rsidRDefault="0002259E" w:rsidP="0025274B">
      <w:pPr>
        <w:jc w:val="center"/>
        <w:rPr>
          <w:rFonts w:ascii="Hurme Geometric Sans 1" w:hAnsi="Hurme Geometric Sans 1" w:cs="Tahoma"/>
          <w:b/>
          <w:bCs/>
          <w:sz w:val="24"/>
          <w:szCs w:val="24"/>
        </w:rPr>
      </w:pPr>
      <w:r w:rsidRPr="0002259E">
        <w:rPr>
          <w:rFonts w:ascii="Hurme Geometric Sans 1" w:hAnsi="Hurme Geometric Sans 1" w:cs="Tahoma"/>
          <w:b/>
          <w:bCs/>
          <w:sz w:val="24"/>
          <w:szCs w:val="24"/>
        </w:rPr>
        <w:t>KALİTE POLİTİKASI</w:t>
      </w:r>
    </w:p>
    <w:p w14:paraId="502FBCA0" w14:textId="0CBC13F3" w:rsidR="009B1F36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Karadeniz Teknik Üniversitesi</w:t>
      </w:r>
    </w:p>
    <w:p w14:paraId="52641686" w14:textId="77777777" w:rsidR="0025274B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Teknoloji Transferi Uygulama ve Araştırma Merkezi</w:t>
      </w:r>
    </w:p>
    <w:p w14:paraId="64C0E8B2" w14:textId="77777777" w:rsidR="0025274B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Modül 4 Fikri Sınai Mülkiyet Hakları Kalite Politikası</w:t>
      </w:r>
    </w:p>
    <w:p w14:paraId="57ABE295" w14:textId="77777777" w:rsidR="0025274B" w:rsidRPr="0025274B" w:rsidRDefault="0025274B" w:rsidP="0025274B">
      <w:pPr>
        <w:rPr>
          <w:rFonts w:ascii="Hurme Geometric Sans 1" w:hAnsi="Hurme Geometric Sans 1" w:cs="Tahoma"/>
          <w:sz w:val="24"/>
          <w:szCs w:val="24"/>
        </w:rPr>
      </w:pPr>
    </w:p>
    <w:p w14:paraId="782059DF" w14:textId="77777777" w:rsidR="0025274B" w:rsidRPr="0025274B" w:rsidRDefault="0025274B" w:rsidP="0025274B">
      <w:pPr>
        <w:rPr>
          <w:rFonts w:ascii="Hurme Geometric Sans 1" w:hAnsi="Hurme Geometric Sans 1" w:cs="Tahoma"/>
          <w:sz w:val="24"/>
          <w:szCs w:val="24"/>
        </w:rPr>
      </w:pPr>
    </w:p>
    <w:p w14:paraId="0C24C7DC" w14:textId="77777777" w:rsidR="0025274B" w:rsidRPr="0025274B" w:rsidRDefault="0025274B" w:rsidP="0025274B">
      <w:pPr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color w:val="212529"/>
          <w:sz w:val="24"/>
          <w:szCs w:val="24"/>
        </w:rPr>
        <w:t xml:space="preserve">KTÜ </w:t>
      </w:r>
      <w:proofErr w:type="spellStart"/>
      <w:r w:rsidRPr="0025274B">
        <w:rPr>
          <w:rFonts w:ascii="Hurme Geometric Sans 1" w:hAnsi="Hurme Geometric Sans 1" w:cs="Tahoma"/>
          <w:color w:val="212529"/>
          <w:sz w:val="24"/>
          <w:szCs w:val="24"/>
        </w:rPr>
        <w:t>TTM’nün</w:t>
      </w:r>
      <w:proofErr w:type="spellEnd"/>
      <w:r w:rsidRPr="0025274B">
        <w:rPr>
          <w:rFonts w:ascii="Hurme Geometric Sans 1" w:hAnsi="Hurme Geometric Sans 1" w:cs="Tahoma"/>
          <w:color w:val="212529"/>
          <w:sz w:val="24"/>
          <w:szCs w:val="24"/>
        </w:rPr>
        <w:t xml:space="preserve"> Fikri ve Sınai Mülkiyet Hakları (FSMH) kurumsal politikası:</w:t>
      </w:r>
    </w:p>
    <w:p w14:paraId="7A140288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proofErr w:type="spellStart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FSMH’ler</w:t>
      </w:r>
      <w:proofErr w:type="spellEnd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ile ilgili </w:t>
      </w:r>
      <w:proofErr w:type="gramStart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bilgilendirme  ve</w:t>
      </w:r>
      <w:proofErr w:type="gramEnd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farkındalık yaratılması amaçlı raporlar, makale vb. çalışmaların derlenmesi ve web sayfasında yayınlanması,</w:t>
      </w:r>
    </w:p>
    <w:p w14:paraId="6CB223C6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Buluş yapan ve buluşu patentlenen akademisyenlere desteğin verilmesi,</w:t>
      </w:r>
    </w:p>
    <w:p w14:paraId="09135340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proofErr w:type="spellStart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FSMH’ların</w:t>
      </w:r>
      <w:proofErr w:type="spellEnd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koruma altına alınması, tescillenmesi ve ticarileştirilmesi,</w:t>
      </w:r>
    </w:p>
    <w:p w14:paraId="456D7C84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Patent başvuruları için gerekli idari ve mali prosedürlerin takip edilmesi,</w:t>
      </w:r>
    </w:p>
    <w:p w14:paraId="144EAB9F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FSMH gelirlerinin KTÜ-Ortaklar ve buluşçular arasındaki paylaşımı,</w:t>
      </w:r>
    </w:p>
    <w:p w14:paraId="291ABA2C" w14:textId="77777777" w:rsidR="0025274B" w:rsidRPr="0025274B" w:rsidRDefault="0025274B" w:rsidP="002527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Karadeniz Teknik üniversitesinin FSMH gelirlerinin Üniversite için nasıl kullanacağına dair çalışmaları kapsamaktadır.</w:t>
      </w:r>
    </w:p>
    <w:p w14:paraId="0164E16F" w14:textId="77777777" w:rsidR="0025274B" w:rsidRDefault="0025274B" w:rsidP="0025274B">
      <w:pP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FİKRİ ve SINAÎ MÜLKİYET HAKLARI, TEKNOLOJİ TRANSFERİ ve BİLGİNİN TİCARİLEŞMESİ ve LİSANSLANMASI UYGULAMA YÖNERGESİ 305 sayılı ve 31.01.2020 tarihli esaslara dayanmaktadır.</w:t>
      </w:r>
    </w:p>
    <w:p w14:paraId="162922B0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432478BB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Üniversite içinde FSMH konusunda bilinçlendirme yaratılması ve f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arkındalığın oluşturulması,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Üniversite içinde FSMH ile ilgili yenilikçi ekosistemin oluşturulması ve destek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mekanizmasının geliştirilmesi,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Üniversitelerde Fikri Mülkiyet kapsamında değerlendirilebil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ecek çalışmaların belirlenmesi,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Akademisyenlerin ileri teknolojilerde daha fazla buluş ve </w:t>
      </w:r>
      <w:proofErr w:type="spellStart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inovatif</w:t>
      </w:r>
      <w:proofErr w:type="spellEnd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çalışma ortaya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çıkarabilmelerinin sağlanması,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Patent işlemleri ve patentlerin ticarileştirilmesi sürecinde araştırmacılara gerekli olan bilgi, doküman ve süreç içerisinde gerekli ola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n diğer hizmetlerin sağlanması,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Fikri ve Sınai mülkiyet haklarının tanınması ve lisan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s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lama hizmetleriyle birlikte; araştırma-geliştirmenin özendirilip teknik bilgilerin d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eğerlendirilerek yaygınlaşması,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Araştırmacıların buluşlarının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korunması ve ödüllendirilmesi, </w:t>
      </w:r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Genel ekonomik açıdan yaratılan yerli </w:t>
      </w:r>
      <w:proofErr w:type="spellStart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know-how’ların</w:t>
      </w:r>
      <w:proofErr w:type="spellEnd"/>
      <w:r w:rsidRPr="0025274B"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kalkınma sürecine olumlu katkılarda bulunmasıyla birlikte teknoloji transferine imkan sağlanmasıdır.</w:t>
      </w:r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KTÜ TTM’ </w:t>
      </w:r>
      <w:proofErr w:type="spellStart"/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>nin</w:t>
      </w:r>
      <w:proofErr w:type="spellEnd"/>
      <w:r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  <w:t xml:space="preserve"> temel amaçlarındandır.</w:t>
      </w:r>
    </w:p>
    <w:p w14:paraId="69386527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338D68C7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52F96B71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459B9D06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7DE3DA40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2938B8BF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001435A8" w14:textId="77777777" w:rsidR="0025274B" w:rsidRDefault="0025274B" w:rsidP="0025274B">
      <w:pPr>
        <w:jc w:val="both"/>
        <w:rPr>
          <w:b/>
        </w:rPr>
      </w:pPr>
      <w:r>
        <w:rPr>
          <w:b/>
        </w:rPr>
        <w:t>Kalite Süreçlerinde Uygulanan PUKÖ Döngüsü Aşağıdaki şekildedir.</w:t>
      </w:r>
    </w:p>
    <w:p w14:paraId="225B1F56" w14:textId="77777777" w:rsidR="0025274B" w:rsidRPr="00067F89" w:rsidRDefault="0025274B" w:rsidP="0025274B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"/>
        <w:gridCol w:w="2145"/>
        <w:gridCol w:w="2146"/>
        <w:gridCol w:w="2145"/>
        <w:gridCol w:w="2146"/>
      </w:tblGrid>
      <w:tr w:rsidR="0025274B" w14:paraId="577C469E" w14:textId="77777777" w:rsidTr="008306C8">
        <w:tc>
          <w:tcPr>
            <w:tcW w:w="480" w:type="dxa"/>
          </w:tcPr>
          <w:p w14:paraId="1CCDEDA7" w14:textId="77777777" w:rsidR="0025274B" w:rsidRPr="0064695F" w:rsidRDefault="0025274B" w:rsidP="008306C8">
            <w:pPr>
              <w:jc w:val="center"/>
              <w:rPr>
                <w:b/>
              </w:rPr>
            </w:pPr>
            <w:r w:rsidRPr="0064695F">
              <w:rPr>
                <w:b/>
              </w:rPr>
              <w:t>No</w:t>
            </w:r>
          </w:p>
        </w:tc>
        <w:tc>
          <w:tcPr>
            <w:tcW w:w="2145" w:type="dxa"/>
          </w:tcPr>
          <w:p w14:paraId="2322E4C1" w14:textId="77777777" w:rsidR="0025274B" w:rsidRPr="0064695F" w:rsidRDefault="0025274B" w:rsidP="008306C8">
            <w:pPr>
              <w:jc w:val="center"/>
              <w:rPr>
                <w:b/>
              </w:rPr>
            </w:pPr>
            <w:r w:rsidRPr="0064695F">
              <w:rPr>
                <w:b/>
              </w:rPr>
              <w:t>Planlama</w:t>
            </w:r>
          </w:p>
        </w:tc>
        <w:tc>
          <w:tcPr>
            <w:tcW w:w="2146" w:type="dxa"/>
          </w:tcPr>
          <w:p w14:paraId="0CAE85BA" w14:textId="77777777" w:rsidR="0025274B" w:rsidRPr="0064695F" w:rsidRDefault="0025274B" w:rsidP="008306C8">
            <w:pPr>
              <w:jc w:val="center"/>
              <w:rPr>
                <w:b/>
              </w:rPr>
            </w:pPr>
            <w:r w:rsidRPr="0064695F">
              <w:rPr>
                <w:b/>
              </w:rPr>
              <w:t>Uygulama</w:t>
            </w:r>
          </w:p>
        </w:tc>
        <w:tc>
          <w:tcPr>
            <w:tcW w:w="2145" w:type="dxa"/>
          </w:tcPr>
          <w:p w14:paraId="1E4CDA3C" w14:textId="77777777" w:rsidR="0025274B" w:rsidRPr="0064695F" w:rsidRDefault="0025274B" w:rsidP="008306C8">
            <w:pPr>
              <w:jc w:val="center"/>
              <w:rPr>
                <w:b/>
              </w:rPr>
            </w:pPr>
            <w:r w:rsidRPr="0064695F">
              <w:rPr>
                <w:b/>
              </w:rPr>
              <w:t>Kontrol</w:t>
            </w:r>
          </w:p>
        </w:tc>
        <w:tc>
          <w:tcPr>
            <w:tcW w:w="2146" w:type="dxa"/>
          </w:tcPr>
          <w:p w14:paraId="055CE2FA" w14:textId="77777777" w:rsidR="0025274B" w:rsidRPr="0064695F" w:rsidRDefault="0025274B" w:rsidP="008306C8">
            <w:pPr>
              <w:jc w:val="center"/>
              <w:rPr>
                <w:b/>
              </w:rPr>
            </w:pPr>
            <w:r w:rsidRPr="0064695F">
              <w:rPr>
                <w:b/>
              </w:rPr>
              <w:t>Önlem</w:t>
            </w:r>
          </w:p>
        </w:tc>
      </w:tr>
      <w:tr w:rsidR="0025274B" w14:paraId="2172B875" w14:textId="77777777" w:rsidTr="008306C8">
        <w:tc>
          <w:tcPr>
            <w:tcW w:w="480" w:type="dxa"/>
          </w:tcPr>
          <w:p w14:paraId="55AE0545" w14:textId="77777777" w:rsidR="0025274B" w:rsidRPr="0064695F" w:rsidRDefault="0025274B" w:rsidP="008306C8">
            <w:pPr>
              <w:jc w:val="both"/>
              <w:rPr>
                <w:b/>
              </w:rPr>
            </w:pPr>
            <w:r w:rsidRPr="0064695F">
              <w:rPr>
                <w:b/>
              </w:rPr>
              <w:t>1</w:t>
            </w:r>
          </w:p>
        </w:tc>
        <w:tc>
          <w:tcPr>
            <w:tcW w:w="2145" w:type="dxa"/>
          </w:tcPr>
          <w:p w14:paraId="100D1B29" w14:textId="77777777" w:rsidR="0025274B" w:rsidRDefault="0025274B" w:rsidP="008306C8">
            <w:pPr>
              <w:jc w:val="both"/>
            </w:pPr>
            <w:r>
              <w:t>Yıl başında belirlenen performans ölçüsünde buluş bildirimlerinin alınması planlanmıştır.</w:t>
            </w:r>
          </w:p>
        </w:tc>
        <w:tc>
          <w:tcPr>
            <w:tcW w:w="2146" w:type="dxa"/>
          </w:tcPr>
          <w:p w14:paraId="61D7A75E" w14:textId="77777777" w:rsidR="0025274B" w:rsidRDefault="0025274B" w:rsidP="008306C8">
            <w:pPr>
              <w:jc w:val="both"/>
            </w:pPr>
            <w:r>
              <w:t>Rutin Modül 4 faaliyetleri ve eğitimler düzenlenmiştir.</w:t>
            </w:r>
          </w:p>
        </w:tc>
        <w:tc>
          <w:tcPr>
            <w:tcW w:w="2145" w:type="dxa"/>
          </w:tcPr>
          <w:p w14:paraId="293CB92F" w14:textId="77777777" w:rsidR="0025274B" w:rsidRDefault="00144D46" w:rsidP="008306C8">
            <w:pPr>
              <w:jc w:val="both"/>
            </w:pPr>
            <w:r>
              <w:t xml:space="preserve">Rutin eğitimlerle belirlenen performans ölçüsünde BBF </w:t>
            </w:r>
            <w:proofErr w:type="spellStart"/>
            <w:r>
              <w:t>alınamamaştır</w:t>
            </w:r>
            <w:proofErr w:type="spellEnd"/>
            <w:r>
              <w:t>.</w:t>
            </w:r>
          </w:p>
        </w:tc>
        <w:tc>
          <w:tcPr>
            <w:tcW w:w="2146" w:type="dxa"/>
          </w:tcPr>
          <w:p w14:paraId="19991977" w14:textId="77777777" w:rsidR="0025274B" w:rsidRDefault="00144D46" w:rsidP="008306C8">
            <w:pPr>
              <w:jc w:val="both"/>
            </w:pPr>
            <w:r>
              <w:t>Bireysel Genç Girişim için alınan girişim fikirleri girişimcilerin isteği üzerine BBF olarak işleme alınmıştır.</w:t>
            </w:r>
          </w:p>
        </w:tc>
      </w:tr>
      <w:tr w:rsidR="00144D46" w14:paraId="5F207610" w14:textId="77777777" w:rsidTr="008306C8">
        <w:tc>
          <w:tcPr>
            <w:tcW w:w="480" w:type="dxa"/>
          </w:tcPr>
          <w:p w14:paraId="491B2C42" w14:textId="77777777" w:rsidR="00144D46" w:rsidRPr="0064695F" w:rsidRDefault="00144D46" w:rsidP="00144D46">
            <w:pPr>
              <w:jc w:val="both"/>
              <w:rPr>
                <w:b/>
              </w:rPr>
            </w:pPr>
            <w:r w:rsidRPr="0064695F">
              <w:rPr>
                <w:b/>
              </w:rPr>
              <w:t>2</w:t>
            </w:r>
          </w:p>
        </w:tc>
        <w:tc>
          <w:tcPr>
            <w:tcW w:w="2145" w:type="dxa"/>
          </w:tcPr>
          <w:p w14:paraId="327DABF4" w14:textId="77777777" w:rsidR="00144D46" w:rsidRDefault="00144D46" w:rsidP="00144D46">
            <w:pPr>
              <w:jc w:val="both"/>
            </w:pPr>
            <w:r>
              <w:t>Yıl başında belirlenen performans ölçüsünde buluş bildirimlerinin alınması planlanmıştır.</w:t>
            </w:r>
          </w:p>
        </w:tc>
        <w:tc>
          <w:tcPr>
            <w:tcW w:w="2146" w:type="dxa"/>
          </w:tcPr>
          <w:p w14:paraId="1A3A9087" w14:textId="77777777" w:rsidR="00144D46" w:rsidRDefault="00144D46" w:rsidP="00144D46">
            <w:pPr>
              <w:jc w:val="both"/>
            </w:pPr>
            <w:r>
              <w:t>Rutin Modül 4 faaliyetleri ve eğitimler düzenlenmiştir.</w:t>
            </w:r>
          </w:p>
        </w:tc>
        <w:tc>
          <w:tcPr>
            <w:tcW w:w="2145" w:type="dxa"/>
          </w:tcPr>
          <w:p w14:paraId="53C73933" w14:textId="77777777" w:rsidR="00144D46" w:rsidRDefault="00144D46" w:rsidP="00144D46">
            <w:pPr>
              <w:jc w:val="both"/>
            </w:pPr>
            <w:r>
              <w:t xml:space="preserve">Gerçekleştirilen faaliyetler sonucunda planlanan hedefe ulaşıldığı görülmüştür. </w:t>
            </w:r>
          </w:p>
        </w:tc>
        <w:tc>
          <w:tcPr>
            <w:tcW w:w="2146" w:type="dxa"/>
          </w:tcPr>
          <w:p w14:paraId="1CEA2F2C" w14:textId="77777777" w:rsidR="00144D46" w:rsidRDefault="00144D46" w:rsidP="00144D46">
            <w:pPr>
              <w:jc w:val="both"/>
            </w:pPr>
            <w:r>
              <w:t>İleriki Yıllar için aynı sürecin devam ettirilmesine karar verilmiştir.</w:t>
            </w:r>
          </w:p>
        </w:tc>
      </w:tr>
      <w:tr w:rsidR="00144D46" w14:paraId="5098522A" w14:textId="77777777" w:rsidTr="008306C8">
        <w:tc>
          <w:tcPr>
            <w:tcW w:w="480" w:type="dxa"/>
          </w:tcPr>
          <w:p w14:paraId="7B5E1DCC" w14:textId="77777777" w:rsidR="00144D46" w:rsidRPr="0064695F" w:rsidRDefault="00144D46" w:rsidP="00144D46">
            <w:pPr>
              <w:jc w:val="both"/>
              <w:rPr>
                <w:b/>
              </w:rPr>
            </w:pPr>
            <w:r w:rsidRPr="0064695F">
              <w:rPr>
                <w:b/>
              </w:rPr>
              <w:t>3</w:t>
            </w:r>
          </w:p>
        </w:tc>
        <w:tc>
          <w:tcPr>
            <w:tcW w:w="2145" w:type="dxa"/>
          </w:tcPr>
          <w:p w14:paraId="64AA2114" w14:textId="77777777" w:rsidR="00144D46" w:rsidRDefault="00144D46" w:rsidP="00144D46">
            <w:pPr>
              <w:jc w:val="both"/>
            </w:pPr>
            <w:r>
              <w:t xml:space="preserve">Üniversitenin hedefleri doğrultusunda 5 uluslararası patent </w:t>
            </w:r>
            <w:proofErr w:type="spellStart"/>
            <w:r>
              <w:t>başvursunun</w:t>
            </w:r>
            <w:proofErr w:type="spellEnd"/>
            <w:r>
              <w:t xml:space="preserve"> yapılması kararlaştırılmıştır.</w:t>
            </w:r>
          </w:p>
        </w:tc>
        <w:tc>
          <w:tcPr>
            <w:tcW w:w="2146" w:type="dxa"/>
          </w:tcPr>
          <w:p w14:paraId="6DC3F3C6" w14:textId="77777777" w:rsidR="00144D46" w:rsidRDefault="00144D46" w:rsidP="00144D46">
            <w:pPr>
              <w:jc w:val="both"/>
            </w:pPr>
            <w:r>
              <w:t>Rutin Modül 4 faaliyetleri ve eğitimler düzenlenmiştir.</w:t>
            </w:r>
          </w:p>
        </w:tc>
        <w:tc>
          <w:tcPr>
            <w:tcW w:w="2145" w:type="dxa"/>
          </w:tcPr>
          <w:p w14:paraId="116BE845" w14:textId="77777777" w:rsidR="00144D46" w:rsidRDefault="00144D46" w:rsidP="00144D46">
            <w:pPr>
              <w:jc w:val="both"/>
            </w:pPr>
            <w:r>
              <w:t>Gerçekleştirilen faaliyetler sonucunda planlanan hedefe ulaşılamadığı görülmüştür.</w:t>
            </w:r>
          </w:p>
        </w:tc>
        <w:tc>
          <w:tcPr>
            <w:tcW w:w="2146" w:type="dxa"/>
          </w:tcPr>
          <w:p w14:paraId="73BA63EC" w14:textId="77777777" w:rsidR="00144D46" w:rsidRDefault="00144D46" w:rsidP="00144D46">
            <w:pPr>
              <w:jc w:val="both"/>
            </w:pPr>
            <w:r>
              <w:t xml:space="preserve">Geçmiş yıllardan </w:t>
            </w:r>
            <w:proofErr w:type="spellStart"/>
            <w:r>
              <w:t>rühhanı</w:t>
            </w:r>
            <w:proofErr w:type="spellEnd"/>
            <w:r>
              <w:t xml:space="preserve"> devam eden patentlerin PCT başvurusu ile hedefe ulaşılmıştır.</w:t>
            </w:r>
          </w:p>
        </w:tc>
      </w:tr>
      <w:tr w:rsidR="00144D46" w14:paraId="7DCBB42F" w14:textId="77777777" w:rsidTr="008306C8">
        <w:tc>
          <w:tcPr>
            <w:tcW w:w="480" w:type="dxa"/>
          </w:tcPr>
          <w:p w14:paraId="7E94F1CA" w14:textId="77777777" w:rsidR="00144D46" w:rsidRPr="0064695F" w:rsidRDefault="00144D46" w:rsidP="00144D46">
            <w:pPr>
              <w:jc w:val="both"/>
              <w:rPr>
                <w:b/>
              </w:rPr>
            </w:pPr>
            <w:r w:rsidRPr="0064695F">
              <w:rPr>
                <w:b/>
              </w:rPr>
              <w:t>4</w:t>
            </w:r>
          </w:p>
        </w:tc>
        <w:tc>
          <w:tcPr>
            <w:tcW w:w="2145" w:type="dxa"/>
          </w:tcPr>
          <w:p w14:paraId="330CDF19" w14:textId="77777777" w:rsidR="00144D46" w:rsidRDefault="00144D46" w:rsidP="00144D46">
            <w:pPr>
              <w:jc w:val="both"/>
            </w:pPr>
            <w:r>
              <w:t xml:space="preserve">6769 sayılı kanuna göre </w:t>
            </w:r>
            <w:proofErr w:type="gramStart"/>
            <w:r>
              <w:t>üniversitelerin  patent</w:t>
            </w:r>
            <w:proofErr w:type="gramEnd"/>
            <w:r>
              <w:t xml:space="preserve"> başvurusu yapma durumu söz konusu olmuştur. </w:t>
            </w:r>
          </w:p>
        </w:tc>
        <w:tc>
          <w:tcPr>
            <w:tcW w:w="2146" w:type="dxa"/>
          </w:tcPr>
          <w:p w14:paraId="0FD7A0B8" w14:textId="77777777" w:rsidR="00144D46" w:rsidRDefault="00144D46" w:rsidP="00144D46">
            <w:pPr>
              <w:jc w:val="both"/>
            </w:pPr>
            <w:r>
              <w:t xml:space="preserve">Gelen </w:t>
            </w:r>
            <w:proofErr w:type="spellStart"/>
            <w:r>
              <w:t>BBf’ler</w:t>
            </w:r>
            <w:proofErr w:type="spellEnd"/>
            <w:r>
              <w:t xml:space="preserve"> değerlendirilerek patent başvuruları yapılmıştır.</w:t>
            </w:r>
          </w:p>
        </w:tc>
        <w:tc>
          <w:tcPr>
            <w:tcW w:w="2145" w:type="dxa"/>
          </w:tcPr>
          <w:p w14:paraId="5E3D7621" w14:textId="77777777" w:rsidR="00144D46" w:rsidRDefault="00144D46" w:rsidP="00144D46">
            <w:pPr>
              <w:jc w:val="both"/>
            </w:pPr>
            <w:r>
              <w:t xml:space="preserve">Ticarileşme </w:t>
            </w:r>
            <w:proofErr w:type="spellStart"/>
            <w:r>
              <w:t>potasiyeli</w:t>
            </w:r>
            <w:proofErr w:type="spellEnd"/>
            <w:r>
              <w:t xml:space="preserve"> düşük patentlerinde başvurusunun yapıldığı görülmüştür.</w:t>
            </w:r>
          </w:p>
        </w:tc>
        <w:tc>
          <w:tcPr>
            <w:tcW w:w="2146" w:type="dxa"/>
          </w:tcPr>
          <w:p w14:paraId="76E9AE2C" w14:textId="77777777" w:rsidR="00144D46" w:rsidRDefault="00144D46" w:rsidP="00144D46">
            <w:pPr>
              <w:jc w:val="both"/>
            </w:pPr>
            <w:r>
              <w:t>Fikri hak analiz raporu hazırlanarak ticarileşme potansiyeli yüksek buluşlar değerlendirmeye alınmıştır.</w:t>
            </w:r>
          </w:p>
        </w:tc>
      </w:tr>
      <w:tr w:rsidR="00144D46" w14:paraId="1CB18CB5" w14:textId="77777777" w:rsidTr="008306C8">
        <w:tc>
          <w:tcPr>
            <w:tcW w:w="480" w:type="dxa"/>
          </w:tcPr>
          <w:p w14:paraId="0ACC65FD" w14:textId="77777777" w:rsidR="00144D46" w:rsidRPr="0064695F" w:rsidRDefault="00144D46" w:rsidP="00144D46">
            <w:pPr>
              <w:jc w:val="both"/>
              <w:rPr>
                <w:b/>
              </w:rPr>
            </w:pPr>
            <w:r w:rsidRPr="0064695F">
              <w:rPr>
                <w:b/>
              </w:rPr>
              <w:t>5</w:t>
            </w:r>
          </w:p>
        </w:tc>
        <w:tc>
          <w:tcPr>
            <w:tcW w:w="2145" w:type="dxa"/>
          </w:tcPr>
          <w:p w14:paraId="5E715893" w14:textId="77777777" w:rsidR="00144D46" w:rsidRDefault="00144D46" w:rsidP="00144D46">
            <w:pPr>
              <w:jc w:val="both"/>
            </w:pPr>
          </w:p>
        </w:tc>
        <w:tc>
          <w:tcPr>
            <w:tcW w:w="2146" w:type="dxa"/>
          </w:tcPr>
          <w:p w14:paraId="3D5FEC0D" w14:textId="77777777" w:rsidR="00144D46" w:rsidRDefault="00144D46" w:rsidP="00144D46">
            <w:pPr>
              <w:jc w:val="both"/>
            </w:pPr>
          </w:p>
        </w:tc>
        <w:tc>
          <w:tcPr>
            <w:tcW w:w="2145" w:type="dxa"/>
          </w:tcPr>
          <w:p w14:paraId="23EF70BD" w14:textId="77777777" w:rsidR="00144D46" w:rsidRDefault="00144D46" w:rsidP="00144D46">
            <w:pPr>
              <w:jc w:val="both"/>
            </w:pPr>
          </w:p>
        </w:tc>
        <w:tc>
          <w:tcPr>
            <w:tcW w:w="2146" w:type="dxa"/>
          </w:tcPr>
          <w:p w14:paraId="33C4B71C" w14:textId="77777777" w:rsidR="00144D46" w:rsidRDefault="00144D46" w:rsidP="00144D46">
            <w:pPr>
              <w:jc w:val="both"/>
            </w:pPr>
          </w:p>
        </w:tc>
      </w:tr>
    </w:tbl>
    <w:p w14:paraId="626FC5EE" w14:textId="77777777" w:rsidR="0025274B" w:rsidRDefault="0025274B" w:rsidP="0025274B">
      <w:pPr>
        <w:jc w:val="both"/>
      </w:pPr>
    </w:p>
    <w:p w14:paraId="750934EB" w14:textId="77777777" w:rsidR="0025274B" w:rsidRP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sectPr w:rsidR="0025274B" w:rsidRPr="0025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42A"/>
    <w:multiLevelType w:val="multilevel"/>
    <w:tmpl w:val="752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37"/>
    <w:rsid w:val="0002259E"/>
    <w:rsid w:val="00144D46"/>
    <w:rsid w:val="0025274B"/>
    <w:rsid w:val="009B1F36"/>
    <w:rsid w:val="00C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AD31"/>
  <w15:chartTrackingRefBased/>
  <w15:docId w15:val="{DB8FBD2A-9849-4DC4-A51B-CB7143A7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Eren YILMAZ</cp:lastModifiedBy>
  <cp:revision>3</cp:revision>
  <dcterms:created xsi:type="dcterms:W3CDTF">2021-12-20T11:56:00Z</dcterms:created>
  <dcterms:modified xsi:type="dcterms:W3CDTF">2022-01-03T05:25:00Z</dcterms:modified>
</cp:coreProperties>
</file>