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39321" w14:textId="642677D1" w:rsidR="00067F89" w:rsidRPr="00AF122E" w:rsidRDefault="003A44D7" w:rsidP="003A44D7">
      <w:pPr>
        <w:jc w:val="center"/>
        <w:rPr>
          <w:rFonts w:ascii="Hurme Geometric Sans 1" w:hAnsi="Hurme Geometric Sans 1" w:cs="Times New Roman"/>
          <w:b/>
          <w:sz w:val="24"/>
          <w:szCs w:val="24"/>
        </w:rPr>
      </w:pPr>
      <w:r>
        <w:rPr>
          <w:rFonts w:ascii="Hurme Geometric Sans 1" w:hAnsi="Hurme Geometric Sans 1" w:cs="Times New Roman"/>
          <w:b/>
          <w:sz w:val="24"/>
          <w:szCs w:val="24"/>
        </w:rPr>
        <w:t xml:space="preserve">Tamamlanan </w:t>
      </w:r>
      <w:r w:rsidRPr="006550A6">
        <w:rPr>
          <w:rFonts w:ascii="Hurme Geometric Sans 1" w:hAnsi="Hurme Geometric Sans 1" w:cs="Times New Roman"/>
          <w:b/>
          <w:sz w:val="24"/>
          <w:szCs w:val="24"/>
        </w:rPr>
        <w:t>PUKO</w:t>
      </w:r>
      <w:r>
        <w:rPr>
          <w:rFonts w:ascii="Hurme Geometric Sans 1" w:hAnsi="Hurme Geometric Sans 1" w:cs="Times New Roman"/>
          <w:b/>
          <w:sz w:val="24"/>
          <w:szCs w:val="24"/>
        </w:rPr>
        <w:t xml:space="preserve"> Çevrimi Örnekleri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7"/>
        <w:gridCol w:w="2244"/>
        <w:gridCol w:w="1986"/>
        <w:gridCol w:w="2144"/>
        <w:gridCol w:w="2141"/>
      </w:tblGrid>
      <w:tr w:rsidR="00195603" w:rsidRPr="00AF122E" w14:paraId="033B06CE" w14:textId="77777777" w:rsidTr="002F12B0">
        <w:tc>
          <w:tcPr>
            <w:tcW w:w="480" w:type="dxa"/>
          </w:tcPr>
          <w:p w14:paraId="56304A6E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45" w:type="dxa"/>
          </w:tcPr>
          <w:p w14:paraId="15A437F4" w14:textId="153DD6F3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Planla</w:t>
            </w:r>
            <w:r w:rsidR="00F26D37"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nan</w:t>
            </w:r>
          </w:p>
        </w:tc>
        <w:tc>
          <w:tcPr>
            <w:tcW w:w="2146" w:type="dxa"/>
          </w:tcPr>
          <w:p w14:paraId="580344E2" w14:textId="70FC88F0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Uygula</w:t>
            </w:r>
            <w:r w:rsidR="00F26D37"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nan</w:t>
            </w:r>
          </w:p>
        </w:tc>
        <w:tc>
          <w:tcPr>
            <w:tcW w:w="2145" w:type="dxa"/>
          </w:tcPr>
          <w:p w14:paraId="1076899E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Kontrol</w:t>
            </w:r>
          </w:p>
        </w:tc>
        <w:tc>
          <w:tcPr>
            <w:tcW w:w="2146" w:type="dxa"/>
          </w:tcPr>
          <w:p w14:paraId="2E8A1B03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Önlem</w:t>
            </w:r>
          </w:p>
        </w:tc>
      </w:tr>
      <w:tr w:rsidR="00195603" w:rsidRPr="00AF122E" w14:paraId="3D2F7724" w14:textId="77777777" w:rsidTr="002F12B0">
        <w:tc>
          <w:tcPr>
            <w:tcW w:w="480" w:type="dxa"/>
          </w:tcPr>
          <w:p w14:paraId="0A80AF9B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14:paraId="05DD8B95" w14:textId="3CEBE046" w:rsidR="0064695F" w:rsidRPr="00AF122E" w:rsidRDefault="00FF639B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KTÜ</w:t>
            </w:r>
            <w:r w:rsidR="00A67E76">
              <w:rPr>
                <w:rFonts w:ascii="Hurme Geometric Sans 1" w:hAnsi="Hurme Geometric Sans 1" w:cs="Times New Roman"/>
                <w:sz w:val="24"/>
                <w:szCs w:val="24"/>
              </w:rPr>
              <w:t xml:space="preserve"> Akademisyenlerinin 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uluslararası </w:t>
            </w:r>
            <w:r w:rsidR="00697F8D">
              <w:rPr>
                <w:rFonts w:ascii="Hurme Geometric Sans 1" w:hAnsi="Hurme Geometric Sans 1" w:cs="Times New Roman"/>
                <w:sz w:val="24"/>
                <w:szCs w:val="24"/>
              </w:rPr>
              <w:t>bilimsel</w:t>
            </w:r>
            <w:r w:rsidR="00A67E76">
              <w:rPr>
                <w:rFonts w:ascii="Hurme Geometric Sans 1" w:hAnsi="Hurme Geometric Sans 1" w:cs="Times New Roman"/>
                <w:sz w:val="24"/>
                <w:szCs w:val="24"/>
              </w:rPr>
              <w:t xml:space="preserve"> ağının</w:t>
            </w:r>
            <w:r w:rsidR="00697F8D">
              <w:rPr>
                <w:rFonts w:ascii="Hurme Geometric Sans 1" w:hAnsi="Hurme Geometric Sans 1" w:cs="Times New Roman"/>
                <w:sz w:val="24"/>
                <w:szCs w:val="24"/>
              </w:rPr>
              <w:t xml:space="preserve"> (network)</w:t>
            </w:r>
            <w:r w:rsidR="00A67E76">
              <w:rPr>
                <w:rFonts w:ascii="Hurme Geometric Sans 1" w:hAnsi="Hurme Geometric Sans 1" w:cs="Times New Roman"/>
                <w:sz w:val="24"/>
                <w:szCs w:val="24"/>
              </w:rPr>
              <w:t xml:space="preserve"> artırılmasını sağlamak.</w:t>
            </w:r>
          </w:p>
        </w:tc>
        <w:tc>
          <w:tcPr>
            <w:tcW w:w="2146" w:type="dxa"/>
          </w:tcPr>
          <w:p w14:paraId="307F280F" w14:textId="77777777" w:rsidR="0064695F" w:rsidRDefault="00564897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COST Aksiyonlarında akademisyen eşleştirilmesi ve sadece COST aksiyonlarına </w:t>
            </w:r>
            <w:r w:rsidR="00AA5D42">
              <w:rPr>
                <w:rFonts w:ascii="Hurme Geometric Sans 1" w:hAnsi="Hurme Geometric Sans 1" w:cs="Times New Roman"/>
                <w:sz w:val="24"/>
                <w:szCs w:val="24"/>
              </w:rPr>
              <w:t xml:space="preserve">katılıma 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>yönelik destek verilmiştir.</w:t>
            </w:r>
          </w:p>
          <w:p w14:paraId="1F407510" w14:textId="5E97E992" w:rsidR="00A33F05" w:rsidRPr="00AF122E" w:rsidRDefault="00A33F05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6D7BC43" w14:textId="2B41CC57" w:rsidR="0064695F" w:rsidRPr="00AF122E" w:rsidRDefault="00564897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COST Aksiyonlarına katılım sağlayan akademisyenlere yönelik aksiyonlar ve TTM destekleri hakkında anket düzenlenmiştir. Ankette </w:t>
            </w:r>
            <w:proofErr w:type="spellStart"/>
            <w:r>
              <w:rPr>
                <w:rFonts w:ascii="Hurme Geometric Sans 1" w:hAnsi="Hurme Geometric Sans 1" w:cs="Times New Roman"/>
                <w:sz w:val="24"/>
                <w:szCs w:val="24"/>
              </w:rPr>
              <w:t>TTM’den</w:t>
            </w:r>
            <w:proofErr w:type="spellEnd"/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almak istediğiniz destek nelerdir sorusuna AB Projeleri hakkında bilgi sahibi olma</w:t>
            </w:r>
            <w:r w:rsidR="00BC3F6D">
              <w:rPr>
                <w:rFonts w:ascii="Hurme Geometric Sans 1" w:hAnsi="Hurme Geometric Sans 1" w:cs="Times New Roman"/>
                <w:sz w:val="24"/>
                <w:szCs w:val="24"/>
              </w:rPr>
              <w:t>, Konsorsiyumlarına dahil olma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ve TÜBİTAK COST 2515 ve TÜBİTAK COST 2519 Programları hakkında</w:t>
            </w:r>
            <w:r w:rsidR="00BC3F6D">
              <w:rPr>
                <w:rFonts w:ascii="Hurme Geometric Sans 1" w:hAnsi="Hurme Geometric Sans 1" w:cs="Times New Roman"/>
                <w:sz w:val="24"/>
                <w:szCs w:val="24"/>
              </w:rPr>
              <w:t xml:space="preserve"> bilgi sahibi olmak istenmiştir.</w:t>
            </w:r>
          </w:p>
        </w:tc>
        <w:tc>
          <w:tcPr>
            <w:tcW w:w="2146" w:type="dxa"/>
          </w:tcPr>
          <w:p w14:paraId="1D5E13EF" w14:textId="5A0F955C" w:rsidR="0064695F" w:rsidRPr="00AF122E" w:rsidRDefault="00BC3F6D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COST Aksiyonlarına akademisyenler eşleştirilirken COST aksiyonları hakkında bilgi verilirken TÜBİTAK COST 2515 ve 2519 Programları hakkında da bilgi verilmektedir. Ayrıca özellikle COST aksiyonlarına katılan akademisyenler</w:t>
            </w:r>
            <w:r w:rsidR="00B8622A">
              <w:rPr>
                <w:rFonts w:ascii="Hurme Geometric Sans 1" w:hAnsi="Hurme Geometric Sans 1" w:cs="Times New Roman"/>
                <w:sz w:val="24"/>
                <w:szCs w:val="24"/>
              </w:rPr>
              <w:t>e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öncelik</w:t>
            </w:r>
            <w:r w:rsidR="00B8622A">
              <w:rPr>
                <w:rFonts w:ascii="Hurme Geometric Sans 1" w:hAnsi="Hurme Geometric Sans 1" w:cs="Times New Roman"/>
                <w:sz w:val="24"/>
                <w:szCs w:val="24"/>
              </w:rPr>
              <w:t xml:space="preserve"> verilerek 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>“Ufuk Avrupa Programlarına Yönelik Teorik ve Uygulamalı Proje Yazma Eğitimi”</w:t>
            </w:r>
            <w:r w:rsidR="00507E33">
              <w:rPr>
                <w:rFonts w:ascii="Hurme Geometric Sans 1" w:hAnsi="Hurme Geometric Sans 1" w:cs="Times New Roman"/>
                <w:sz w:val="24"/>
                <w:szCs w:val="24"/>
              </w:rPr>
              <w:t xml:space="preserve">, “TÜBİTAK ikili ve çoklu </w:t>
            </w:r>
            <w:proofErr w:type="gramStart"/>
            <w:r w:rsidR="00507E33">
              <w:rPr>
                <w:rFonts w:ascii="Hurme Geometric Sans 1" w:hAnsi="Hurme Geometric Sans 1" w:cs="Times New Roman"/>
                <w:sz w:val="24"/>
                <w:szCs w:val="24"/>
              </w:rPr>
              <w:t>işbirliği</w:t>
            </w:r>
            <w:proofErr w:type="gramEnd"/>
            <w:r w:rsidR="00507E33">
              <w:rPr>
                <w:rFonts w:ascii="Hurme Geometric Sans 1" w:hAnsi="Hurme Geometric Sans 1" w:cs="Times New Roman"/>
                <w:sz w:val="24"/>
                <w:szCs w:val="24"/>
              </w:rPr>
              <w:t xml:space="preserve"> programları bilgi günü”, “</w:t>
            </w:r>
            <w:r w:rsidR="00F11396">
              <w:rPr>
                <w:rFonts w:ascii="Hurme Geometric Sans 1" w:hAnsi="Hurme Geometric Sans 1" w:cs="Times New Roman"/>
                <w:sz w:val="24"/>
                <w:szCs w:val="24"/>
              </w:rPr>
              <w:t>Uluslararası konsorsiyumlara dahil olma araçları bilgilendirme etkinliği”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 gerçekleştirilmiştir.</w:t>
            </w:r>
            <w:r w:rsidR="00507E33">
              <w:rPr>
                <w:rFonts w:ascii="Hurme Geometric Sans 1" w:hAnsi="Hurme Geometric Sans 1" w:cs="Times New Roman"/>
                <w:sz w:val="24"/>
                <w:szCs w:val="24"/>
              </w:rPr>
              <w:t xml:space="preserve"> </w:t>
            </w:r>
          </w:p>
        </w:tc>
      </w:tr>
      <w:tr w:rsidR="00195603" w:rsidRPr="00AF122E" w14:paraId="402BE751" w14:textId="77777777" w:rsidTr="002F12B0">
        <w:tc>
          <w:tcPr>
            <w:tcW w:w="480" w:type="dxa"/>
          </w:tcPr>
          <w:p w14:paraId="60FA6636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14:paraId="0130000F" w14:textId="6D6069EB" w:rsidR="0064695F" w:rsidRPr="00AF122E" w:rsidRDefault="00A67E76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KTÜ’nün Ulusal proje kabul sayısını artırmak.</w:t>
            </w:r>
          </w:p>
        </w:tc>
        <w:tc>
          <w:tcPr>
            <w:tcW w:w="2146" w:type="dxa"/>
          </w:tcPr>
          <w:p w14:paraId="297EFC25" w14:textId="071E0561" w:rsidR="0064695F" w:rsidRPr="00AF122E" w:rsidRDefault="00064DA0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TÜBİTAK ARDEB</w:t>
            </w:r>
            <w:r w:rsidR="0027768D">
              <w:rPr>
                <w:rFonts w:ascii="Hurme Geometric Sans 1" w:hAnsi="Hurme Geometric Sans 1" w:cs="Times New Roman"/>
                <w:sz w:val="24"/>
                <w:szCs w:val="24"/>
              </w:rPr>
              <w:t xml:space="preserve"> ve diğer ulusal hibe 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programlarına yönelik TTM tarafından bilgilendirme etkinlikleri yapılmaktadır. </w:t>
            </w:r>
          </w:p>
        </w:tc>
        <w:tc>
          <w:tcPr>
            <w:tcW w:w="2145" w:type="dxa"/>
          </w:tcPr>
          <w:p w14:paraId="079BCFDE" w14:textId="1648EFA3" w:rsidR="002F12B0" w:rsidRPr="00AF122E" w:rsidRDefault="00A13484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TTM tarafından yapılan bilgilendirme etkinlikleri programlar hakkında bilgi sahibi olan akademisyenler için ilgi çekici 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lastRenderedPageBreak/>
              <w:t>olmadığı ve etkinliklerine katılım sağlanmadığı anlaşılmıştır.</w:t>
            </w:r>
          </w:p>
        </w:tc>
        <w:tc>
          <w:tcPr>
            <w:tcW w:w="2146" w:type="dxa"/>
          </w:tcPr>
          <w:p w14:paraId="7F822E01" w14:textId="4DEF2C72" w:rsidR="0064695F" w:rsidRPr="00AF122E" w:rsidRDefault="00B8622A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lastRenderedPageBreak/>
              <w:t>E</w:t>
            </w:r>
            <w:r w:rsidR="00A13484">
              <w:rPr>
                <w:rFonts w:ascii="Hurme Geometric Sans 1" w:hAnsi="Hurme Geometric Sans 1" w:cs="Times New Roman"/>
                <w:sz w:val="24"/>
                <w:szCs w:val="24"/>
              </w:rPr>
              <w:t>tkinlikleri</w:t>
            </w:r>
            <w:r>
              <w:rPr>
                <w:rFonts w:ascii="Hurme Geometric Sans 1" w:hAnsi="Hurme Geometric Sans 1" w:cs="Times New Roman"/>
                <w:sz w:val="24"/>
                <w:szCs w:val="24"/>
              </w:rPr>
              <w:t>n</w:t>
            </w:r>
            <w:r w:rsidR="00A13484">
              <w:rPr>
                <w:rFonts w:ascii="Hurme Geometric Sans 1" w:hAnsi="Hurme Geometric Sans 1" w:cs="Times New Roman"/>
                <w:sz w:val="24"/>
                <w:szCs w:val="24"/>
              </w:rPr>
              <w:t xml:space="preserve"> yanında TÜBİTAK </w:t>
            </w:r>
            <w:proofErr w:type="spellStart"/>
            <w:r w:rsidR="00A13484">
              <w:rPr>
                <w:rFonts w:ascii="Hurme Geometric Sans 1" w:hAnsi="Hurme Geometric Sans 1" w:cs="Times New Roman"/>
                <w:sz w:val="24"/>
                <w:szCs w:val="24"/>
              </w:rPr>
              <w:t>ARDEB’de</w:t>
            </w:r>
            <w:proofErr w:type="spellEnd"/>
            <w:r w:rsidR="00A13484">
              <w:rPr>
                <w:rFonts w:ascii="Hurme Geometric Sans 1" w:hAnsi="Hurme Geometric Sans 1" w:cs="Times New Roman"/>
                <w:sz w:val="24"/>
                <w:szCs w:val="24"/>
              </w:rPr>
              <w:t xml:space="preserve"> Grup Yürütme ve Danışma Kurullarında görev almış</w:t>
            </w:r>
            <w:r w:rsidR="00B0124C">
              <w:rPr>
                <w:rFonts w:ascii="Hurme Geometric Sans 1" w:hAnsi="Hurme Geometric Sans 1" w:cs="Times New Roman"/>
                <w:sz w:val="24"/>
                <w:szCs w:val="24"/>
              </w:rPr>
              <w:t xml:space="preserve"> veya</w:t>
            </w:r>
            <w:r w:rsidR="00A13484">
              <w:rPr>
                <w:rFonts w:ascii="Hurme Geometric Sans 1" w:hAnsi="Hurme Geometric Sans 1" w:cs="Times New Roman"/>
                <w:sz w:val="24"/>
                <w:szCs w:val="24"/>
              </w:rPr>
              <w:t xml:space="preserve"> </w:t>
            </w:r>
            <w:r w:rsidR="00D53D3E">
              <w:rPr>
                <w:rFonts w:ascii="Hurme Geometric Sans 1" w:hAnsi="Hurme Geometric Sans 1" w:cs="Times New Roman"/>
                <w:sz w:val="24"/>
                <w:szCs w:val="24"/>
              </w:rPr>
              <w:t xml:space="preserve">proje başvuru ve yürütme </w:t>
            </w:r>
            <w:r w:rsidR="00A13484">
              <w:rPr>
                <w:rFonts w:ascii="Hurme Geometric Sans 1" w:hAnsi="Hurme Geometric Sans 1" w:cs="Times New Roman"/>
                <w:sz w:val="24"/>
                <w:szCs w:val="24"/>
              </w:rPr>
              <w:lastRenderedPageBreak/>
              <w:t>konusunda deneyimli akademisyenlerle “Tecrübe Paylaşımı Etkinlikleri” gerçekleştirilmiş</w:t>
            </w:r>
            <w:r w:rsidR="00B0124C">
              <w:rPr>
                <w:rFonts w:ascii="Hurme Geometric Sans 1" w:hAnsi="Hurme Geometric Sans 1" w:cs="Times New Roman"/>
                <w:sz w:val="24"/>
                <w:szCs w:val="24"/>
              </w:rPr>
              <w:t>tir.</w:t>
            </w:r>
          </w:p>
        </w:tc>
      </w:tr>
      <w:tr w:rsidR="00195603" w:rsidRPr="00AF122E" w14:paraId="21617CEF" w14:textId="77777777" w:rsidTr="002F12B0">
        <w:tc>
          <w:tcPr>
            <w:tcW w:w="480" w:type="dxa"/>
          </w:tcPr>
          <w:p w14:paraId="6F55F5E6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45" w:type="dxa"/>
          </w:tcPr>
          <w:p w14:paraId="4FC772D6" w14:textId="1E5B0387" w:rsidR="0064695F" w:rsidRPr="00AF122E" w:rsidRDefault="00195603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Lisans öğrencilerinin proje yazma kapasitesini artırmak.</w:t>
            </w:r>
          </w:p>
        </w:tc>
        <w:tc>
          <w:tcPr>
            <w:tcW w:w="2146" w:type="dxa"/>
          </w:tcPr>
          <w:p w14:paraId="318D665E" w14:textId="21DFDB7F" w:rsidR="0064695F" w:rsidRPr="00AF122E" w:rsidRDefault="00195603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Lisans öğrencilerine yönelik programlarla ilgili bölüm ve fakültelerin talepleri doğrultusunda ve çevrim içi olarak tüm üniversite öğrencilerine yönelik bilgilendirme etkinlikleri yapılmaktadır. </w:t>
            </w:r>
          </w:p>
        </w:tc>
        <w:tc>
          <w:tcPr>
            <w:tcW w:w="2145" w:type="dxa"/>
          </w:tcPr>
          <w:p w14:paraId="189CE9D6" w14:textId="554C2C50" w:rsidR="0064695F" w:rsidRPr="00AF122E" w:rsidRDefault="00195603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 xml:space="preserve">Gerçekleştirilen bilgilendirme etkinliklerinde sadece programlar hakkında bilgi verilmekte olup proje başvuru formu ile ilgili detaylı bilgi verilmediği için başvuru formunun doldurulması sırasında lisans öğrencilerinin zorluk yaşadığı anlaşılmıştır. </w:t>
            </w:r>
          </w:p>
        </w:tc>
        <w:tc>
          <w:tcPr>
            <w:tcW w:w="2146" w:type="dxa"/>
          </w:tcPr>
          <w:p w14:paraId="56C3675F" w14:textId="1902AB84" w:rsidR="0064695F" w:rsidRPr="00AF122E" w:rsidRDefault="00195603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  <w:r>
              <w:rPr>
                <w:rFonts w:ascii="Hurme Geometric Sans 1" w:hAnsi="Hurme Geometric Sans 1" w:cs="Times New Roman"/>
                <w:sz w:val="24"/>
                <w:szCs w:val="24"/>
              </w:rPr>
              <w:t>Bilgilendirme etkinlikleri her çağrı dönemlerinde sürekli yapılmaya devam etmekte olup bunun yanında TÜBİTAK 2237 programı kapsamında alınan destekle Lisans öğrencileri için 3 günlük proje yazma eğitimleri düzenlenmektedir.</w:t>
            </w:r>
          </w:p>
        </w:tc>
      </w:tr>
      <w:tr w:rsidR="00195603" w:rsidRPr="00AF122E" w14:paraId="356B80EC" w14:textId="77777777" w:rsidTr="002F12B0">
        <w:tc>
          <w:tcPr>
            <w:tcW w:w="480" w:type="dxa"/>
          </w:tcPr>
          <w:p w14:paraId="34029300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14:paraId="61CE26FD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CBA9665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D287C67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53961D8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  <w:tr w:rsidR="00195603" w:rsidRPr="00AF122E" w14:paraId="23E89503" w14:textId="77777777" w:rsidTr="002F12B0">
        <w:tc>
          <w:tcPr>
            <w:tcW w:w="480" w:type="dxa"/>
          </w:tcPr>
          <w:p w14:paraId="783DB579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b/>
                <w:sz w:val="24"/>
                <w:szCs w:val="24"/>
              </w:rPr>
            </w:pPr>
            <w:r w:rsidRPr="00AF122E">
              <w:rPr>
                <w:rFonts w:ascii="Hurme Geometric Sans 1" w:hAnsi="Hurme Geometric Sans 1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14:paraId="7267D7B1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4CAA182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CA2A39C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66B7808" w14:textId="77777777" w:rsidR="0064695F" w:rsidRPr="00AF122E" w:rsidRDefault="0064695F" w:rsidP="00620AB6">
            <w:pPr>
              <w:jc w:val="both"/>
              <w:rPr>
                <w:rFonts w:ascii="Hurme Geometric Sans 1" w:hAnsi="Hurme Geometric Sans 1" w:cs="Times New Roman"/>
                <w:sz w:val="24"/>
                <w:szCs w:val="24"/>
              </w:rPr>
            </w:pPr>
          </w:p>
        </w:tc>
      </w:tr>
    </w:tbl>
    <w:p w14:paraId="03F61460" w14:textId="3BC87BC6" w:rsidR="009C3DC5" w:rsidRDefault="009C3DC5" w:rsidP="00620AB6">
      <w:pPr>
        <w:jc w:val="both"/>
        <w:rPr>
          <w:rFonts w:ascii="Hurme Geometric Sans 1" w:hAnsi="Hurme Geometric Sans 1" w:cs="Times New Roman"/>
          <w:sz w:val="24"/>
          <w:szCs w:val="24"/>
        </w:rPr>
      </w:pPr>
      <w:r w:rsidRPr="009C3DC5">
        <w:rPr>
          <w:rFonts w:ascii="Hurme Geometric Sans 1" w:hAnsi="Hurme Geometric Sans 1" w:cs="Times New Roman"/>
          <w:b/>
          <w:bCs/>
          <w:sz w:val="24"/>
          <w:szCs w:val="24"/>
        </w:rPr>
        <w:lastRenderedPageBreak/>
        <w:t>1-</w:t>
      </w:r>
      <w:r>
        <w:rPr>
          <w:noProof/>
        </w:rPr>
        <w:drawing>
          <wp:inline distT="0" distB="0" distL="0" distR="0" wp14:anchorId="0721681A" wp14:editId="57AD6303">
            <wp:extent cx="5760720" cy="37750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C1478" w14:textId="154135AC" w:rsidR="009C3DC5" w:rsidRDefault="009C3DC5" w:rsidP="00620AB6">
      <w:pPr>
        <w:jc w:val="both"/>
        <w:rPr>
          <w:rFonts w:ascii="Hurme Geometric Sans 1" w:hAnsi="Hurme Geometric Sans 1" w:cs="Times New Roman"/>
          <w:sz w:val="24"/>
          <w:szCs w:val="24"/>
        </w:rPr>
      </w:pPr>
      <w:r w:rsidRPr="00AF41EB">
        <w:rPr>
          <w:rFonts w:ascii="Hurme Geometric Sans 1" w:hAnsi="Hurme Geometric Sans 1" w:cs="Times New Roman"/>
          <w:b/>
          <w:bCs/>
          <w:sz w:val="24"/>
          <w:szCs w:val="24"/>
        </w:rPr>
        <w:t>2-</w:t>
      </w:r>
      <w:r w:rsidR="00B8622A">
        <w:rPr>
          <w:noProof/>
        </w:rPr>
        <w:drawing>
          <wp:inline distT="0" distB="0" distL="0" distR="0" wp14:anchorId="298AFCE6" wp14:editId="57CE9548">
            <wp:extent cx="5760720" cy="39338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2FAF2" w14:textId="60F63D79" w:rsidR="00AF41EB" w:rsidRPr="00AF41EB" w:rsidRDefault="00AF41EB" w:rsidP="00620AB6">
      <w:pPr>
        <w:jc w:val="both"/>
        <w:rPr>
          <w:rFonts w:ascii="Hurme Geometric Sans 1" w:hAnsi="Hurme Geometric Sans 1" w:cs="Times New Roman"/>
          <w:b/>
          <w:bCs/>
          <w:sz w:val="24"/>
          <w:szCs w:val="24"/>
        </w:rPr>
      </w:pPr>
      <w:r w:rsidRPr="00AF41EB">
        <w:rPr>
          <w:rFonts w:ascii="Hurme Geometric Sans 1" w:hAnsi="Hurme Geometric Sans 1" w:cs="Times New Roman"/>
          <w:b/>
          <w:bCs/>
          <w:sz w:val="24"/>
          <w:szCs w:val="24"/>
        </w:rPr>
        <w:t xml:space="preserve">3- </w:t>
      </w:r>
    </w:p>
    <w:p w14:paraId="0254A683" w14:textId="47DE283F" w:rsidR="00AF41EB" w:rsidRPr="00AF122E" w:rsidRDefault="00AF41EB" w:rsidP="00AF41EB">
      <w:pPr>
        <w:jc w:val="center"/>
        <w:rPr>
          <w:rFonts w:ascii="Hurme Geometric Sans 1" w:hAnsi="Hurme Geometric Sans 1" w:cs="Times New Roman"/>
          <w:sz w:val="24"/>
          <w:szCs w:val="24"/>
        </w:rPr>
      </w:pPr>
      <w:r w:rsidRPr="00AF41EB">
        <w:rPr>
          <w:rFonts w:ascii="Hurme Geometric Sans 1" w:hAnsi="Hurme Geometric Sans 1" w:cs="Times New Roman"/>
          <w:sz w:val="24"/>
          <w:szCs w:val="24"/>
        </w:rPr>
        <w:lastRenderedPageBreak/>
        <w:drawing>
          <wp:inline distT="0" distB="0" distL="0" distR="0" wp14:anchorId="30BAE72F" wp14:editId="6C5B61A7">
            <wp:extent cx="5357703" cy="4220845"/>
            <wp:effectExtent l="0" t="0" r="0" b="0"/>
            <wp:docPr id="46" name="Resim 45" descr="metin, ekran görüntüsü, diyagram, yazı tipi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58B8FF1D-31FF-E886-A73A-6F6DB469BA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Resim 45" descr="metin, ekran görüntüsü, diyagram, yazı tipi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58B8FF1D-31FF-E886-A73A-6F6DB469BA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0713" cy="422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1EB" w:rsidRPr="00AF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alibri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B18B5"/>
    <w:multiLevelType w:val="hybridMultilevel"/>
    <w:tmpl w:val="3A588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F27E5"/>
    <w:multiLevelType w:val="hybridMultilevel"/>
    <w:tmpl w:val="91A01B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6D18"/>
    <w:multiLevelType w:val="hybridMultilevel"/>
    <w:tmpl w:val="FEB29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21395">
    <w:abstractNumId w:val="0"/>
  </w:num>
  <w:num w:numId="2" w16cid:durableId="1711997095">
    <w:abstractNumId w:val="1"/>
  </w:num>
  <w:num w:numId="3" w16cid:durableId="1795515507">
    <w:abstractNumId w:val="1"/>
  </w:num>
  <w:num w:numId="4" w16cid:durableId="76681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12"/>
    <w:rsid w:val="00012693"/>
    <w:rsid w:val="00054465"/>
    <w:rsid w:val="00064DA0"/>
    <w:rsid w:val="00067F89"/>
    <w:rsid w:val="00124846"/>
    <w:rsid w:val="00195603"/>
    <w:rsid w:val="0027768D"/>
    <w:rsid w:val="00291E58"/>
    <w:rsid w:val="002C5773"/>
    <w:rsid w:val="002F12B0"/>
    <w:rsid w:val="00380E00"/>
    <w:rsid w:val="003A44D7"/>
    <w:rsid w:val="00507E33"/>
    <w:rsid w:val="00564897"/>
    <w:rsid w:val="005C00E8"/>
    <w:rsid w:val="00620AB6"/>
    <w:rsid w:val="0064695F"/>
    <w:rsid w:val="00697F8D"/>
    <w:rsid w:val="00756D2D"/>
    <w:rsid w:val="00791A6C"/>
    <w:rsid w:val="009C3DC5"/>
    <w:rsid w:val="00A13484"/>
    <w:rsid w:val="00A33F05"/>
    <w:rsid w:val="00A67E76"/>
    <w:rsid w:val="00AA5D42"/>
    <w:rsid w:val="00AF122E"/>
    <w:rsid w:val="00AF41EB"/>
    <w:rsid w:val="00B0124C"/>
    <w:rsid w:val="00B32A43"/>
    <w:rsid w:val="00B661AA"/>
    <w:rsid w:val="00B8622A"/>
    <w:rsid w:val="00BC3F6D"/>
    <w:rsid w:val="00CE3BEA"/>
    <w:rsid w:val="00D53D3E"/>
    <w:rsid w:val="00DC6D12"/>
    <w:rsid w:val="00E90F2E"/>
    <w:rsid w:val="00F11396"/>
    <w:rsid w:val="00F161F9"/>
    <w:rsid w:val="00F26D37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E0C0"/>
  <w15:chartTrackingRefBased/>
  <w15:docId w15:val="{9E78BCFC-3712-4FD9-AA6D-E819169E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6D12"/>
    <w:pPr>
      <w:ind w:left="720"/>
      <w:contextualSpacing/>
    </w:pPr>
  </w:style>
  <w:style w:type="table" w:styleId="TabloKlavuzu">
    <w:name w:val="Table Grid"/>
    <w:basedOn w:val="NormalTablo"/>
    <w:uiPriority w:val="39"/>
    <w:rsid w:val="0064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yıldız</cp:lastModifiedBy>
  <cp:revision>17</cp:revision>
  <dcterms:created xsi:type="dcterms:W3CDTF">2021-12-20T06:26:00Z</dcterms:created>
  <dcterms:modified xsi:type="dcterms:W3CDTF">2024-07-16T13:34:00Z</dcterms:modified>
</cp:coreProperties>
</file>